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F2A" w:rsidRDefault="005F4F2A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distribute"/>
        <w:rPr>
          <w:rFonts w:ascii="黑体" w:eastAsia="黑体" w:hAnsi="黑体" w:cs="宋体"/>
          <w:sz w:val="48"/>
          <w:szCs w:val="48"/>
        </w:rPr>
      </w:pPr>
    </w:p>
    <w:p w:rsidR="005F4F2A" w:rsidRDefault="00533984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distribute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cs="宋体" w:hint="eastAsia"/>
          <w:sz w:val="48"/>
          <w:szCs w:val="48"/>
        </w:rPr>
        <w:t>绿色食品生产操作规程</w:t>
      </w:r>
    </w:p>
    <w:p w:rsidR="005F4F2A" w:rsidRDefault="00533984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right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/>
          <w:sz w:val="28"/>
          <w:szCs w:val="28"/>
        </w:rPr>
        <w:t>LB/T</w:t>
      </w:r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="007D60AB">
        <w:rPr>
          <w:rFonts w:ascii="黑体" w:eastAsia="黑体" w:hAnsi="黑体" w:cs="宋体" w:hint="eastAsia"/>
          <w:sz w:val="28"/>
          <w:szCs w:val="28"/>
        </w:rPr>
        <w:t>362</w:t>
      </w:r>
      <w:r>
        <w:rPr>
          <w:rFonts w:ascii="黑体" w:eastAsia="黑体" w:hAnsi="黑体" w:cs="宋体" w:hint="eastAsia"/>
          <w:sz w:val="28"/>
          <w:szCs w:val="28"/>
        </w:rPr>
        <w:t>-</w:t>
      </w:r>
      <w:r>
        <w:rPr>
          <w:rFonts w:ascii="黑体" w:eastAsia="黑体" w:hAnsi="黑体" w:cs="宋体"/>
          <w:sz w:val="28"/>
          <w:szCs w:val="28"/>
        </w:rPr>
        <w:t>20</w:t>
      </w:r>
      <w:r w:rsidR="00A109C3">
        <w:rPr>
          <w:rFonts w:ascii="黑体" w:eastAsia="黑体" w:hAnsi="黑体" w:cs="宋体" w:hint="eastAsia"/>
          <w:sz w:val="28"/>
          <w:szCs w:val="28"/>
        </w:rPr>
        <w:t>26</w:t>
      </w:r>
    </w:p>
    <w:p w:rsidR="005F4F2A" w:rsidRDefault="00533984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right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76200</wp:posOffset>
                </wp:positionV>
                <wp:extent cx="5173980" cy="0"/>
                <wp:effectExtent l="0" t="4445" r="0" b="5080"/>
                <wp:wrapNone/>
                <wp:docPr id="2132027211" name="直接箭头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3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FCAC4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" o:spid="_x0000_s1026" type="#_x0000_t32" style="position:absolute;left:0;text-align:left;margin-left:12.6pt;margin-top:6pt;width:407.4pt;height:0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"/>
            </w:pict>
          </mc:Fallback>
        </mc:AlternateContent>
      </w:r>
    </w:p>
    <w:p w:rsidR="005F4F2A" w:rsidRDefault="005F4F2A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F4F2A" w:rsidRDefault="005F4F2A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F4F2A" w:rsidRDefault="005F4F2A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F4F2A" w:rsidRDefault="005F4F2A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F4F2A" w:rsidRDefault="005F4F2A">
      <w:pPr>
        <w:pStyle w:val="10"/>
        <w:spacing w:beforeLines="50" w:before="156" w:afterLines="50" w:after="156" w:line="360" w:lineRule="auto"/>
        <w:ind w:left="357" w:firstLineChars="0" w:firstLine="0"/>
        <w:contextualSpacing/>
        <w:jc w:val="center"/>
        <w:rPr>
          <w:rFonts w:ascii="黑体" w:eastAsia="黑体" w:hAnsi="黑体" w:cs="宋体"/>
          <w:sz w:val="18"/>
          <w:szCs w:val="18"/>
        </w:rPr>
      </w:pPr>
    </w:p>
    <w:p w:rsidR="005F4F2A" w:rsidRDefault="00533984" w:rsidP="00A109C3">
      <w:pPr>
        <w:pStyle w:val="10"/>
        <w:adjustRightInd w:val="0"/>
        <w:spacing w:beforeLines="50" w:before="156" w:afterLines="50" w:after="156" w:line="360" w:lineRule="auto"/>
        <w:ind w:firstLineChars="0" w:firstLine="0"/>
        <w:contextualSpacing/>
        <w:jc w:val="center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绿色食品桑葚生产操作规程</w:t>
      </w:r>
    </w:p>
    <w:p w:rsidR="005F4F2A" w:rsidRDefault="005F4F2A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F4F2A" w:rsidRDefault="005F4F2A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F4F2A" w:rsidRPr="00A109C3" w:rsidRDefault="005F4F2A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F4F2A" w:rsidRDefault="005F4F2A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A109C3" w:rsidRDefault="00A109C3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A109C3" w:rsidRDefault="00A109C3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F4F2A" w:rsidRDefault="005F4F2A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F4F2A" w:rsidRDefault="005F4F2A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F4F2A" w:rsidRDefault="005F4F2A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F4F2A" w:rsidRDefault="007D60AB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left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2026-04-07</w:t>
      </w:r>
      <w:r>
        <w:rPr>
          <w:rFonts w:ascii="黑体" w:eastAsia="黑体" w:hAnsi="黑体" w:cs="黑体" w:hint="eastAsia"/>
          <w:bCs/>
          <w:sz w:val="28"/>
          <w:szCs w:val="28"/>
        </w:rPr>
        <w:t>发布</w:t>
      </w:r>
      <w:r>
        <w:rPr>
          <w:b/>
          <w:sz w:val="28"/>
          <w:szCs w:val="28"/>
        </w:rPr>
        <w:t xml:space="preserve">            </w:t>
      </w:r>
      <w:bookmarkStart w:id="0" w:name="_GoBack"/>
      <w:bookmarkEnd w:id="0"/>
      <w:r>
        <w:rPr>
          <w:b/>
          <w:sz w:val="28"/>
          <w:szCs w:val="28"/>
        </w:rPr>
        <w:t xml:space="preserve">             </w:t>
      </w:r>
      <w:r>
        <w:rPr>
          <w:rFonts w:ascii="黑体" w:eastAsia="黑体" w:hAnsi="黑体" w:cs="宋体" w:hint="eastAsia"/>
          <w:sz w:val="28"/>
          <w:szCs w:val="28"/>
        </w:rPr>
        <w:t>2026-05-01</w:t>
      </w:r>
      <w:r>
        <w:rPr>
          <w:rFonts w:ascii="黑体" w:eastAsia="黑体" w:hAnsi="黑体" w:cs="黑体" w:hint="eastAsia"/>
          <w:bCs/>
          <w:sz w:val="28"/>
          <w:szCs w:val="28"/>
        </w:rPr>
        <w:t>实施</w:t>
      </w:r>
    </w:p>
    <w:p w:rsidR="005F4F2A" w:rsidRDefault="00533984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left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205740</wp:posOffset>
                </wp:positionH>
                <wp:positionV relativeFrom="paragraph">
                  <wp:posOffset>114300</wp:posOffset>
                </wp:positionV>
                <wp:extent cx="4853940" cy="15240"/>
                <wp:effectExtent l="0" t="4445" r="3810" b="8890"/>
                <wp:wrapNone/>
                <wp:docPr id="724358659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4E275" id="直接箭头连接符 1" o:spid="_x0000_s1026" type="#_x0000_t32" style="position:absolute;left:0;text-align:left;margin-left:16.2pt;margin-top:9pt;width:382.2pt;height:1.2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"/>
            </w:pict>
          </mc:Fallback>
        </mc:AlternateContent>
      </w:r>
    </w:p>
    <w:p w:rsidR="005F4F2A" w:rsidRDefault="00533984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28"/>
          <w:szCs w:val="28"/>
        </w:rPr>
      </w:pPr>
      <w:r>
        <w:rPr>
          <w:rFonts w:ascii="华文中宋" w:eastAsia="华文中宋" w:hAnsi="华文中宋" w:cs="宋体" w:hint="eastAsia"/>
          <w:spacing w:val="71"/>
          <w:kern w:val="0"/>
          <w:sz w:val="32"/>
          <w:szCs w:val="32"/>
          <w:fitText w:val="4480" w:id="325521446"/>
        </w:rPr>
        <w:t>中国绿色食品发展中</w:t>
      </w:r>
      <w:r>
        <w:rPr>
          <w:rFonts w:ascii="华文中宋" w:eastAsia="华文中宋" w:hAnsi="华文中宋" w:cs="宋体" w:hint="eastAsia"/>
          <w:spacing w:val="1"/>
          <w:kern w:val="0"/>
          <w:sz w:val="32"/>
          <w:szCs w:val="32"/>
          <w:fitText w:val="4480" w:id="325521446"/>
        </w:rPr>
        <w:t>心</w:t>
      </w:r>
      <w:r>
        <w:rPr>
          <w:rFonts w:ascii="华文中宋" w:eastAsia="华文中宋" w:hAnsi="华文中宋" w:cs="宋体" w:hint="eastAsia"/>
          <w:kern w:val="0"/>
          <w:sz w:val="32"/>
          <w:szCs w:val="32"/>
        </w:rPr>
        <w:t xml:space="preserve">  </w:t>
      </w:r>
      <w:r>
        <w:rPr>
          <w:rFonts w:ascii="黑体" w:eastAsia="黑体" w:hAnsi="黑体" w:cs="宋体" w:hint="eastAsia"/>
          <w:sz w:val="28"/>
          <w:szCs w:val="28"/>
        </w:rPr>
        <w:t>发 布</w:t>
      </w:r>
    </w:p>
    <w:p w:rsidR="005F4F2A" w:rsidRDefault="005F4F2A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F4F2A" w:rsidRDefault="00533984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t>前  言</w:t>
      </w:r>
    </w:p>
    <w:p w:rsidR="005F4F2A" w:rsidRDefault="005F4F2A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F4F2A" w:rsidRDefault="00533984">
      <w:pPr>
        <w:pStyle w:val="10"/>
        <w:spacing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</w:t>
      </w:r>
      <w:r w:rsidR="00A109C3">
        <w:rPr>
          <w:rFonts w:ascii="宋体" w:hAnsi="宋体" w:cs="宋体" w:hint="eastAsia"/>
        </w:rPr>
        <w:t>文件</w:t>
      </w:r>
      <w:r>
        <w:rPr>
          <w:rFonts w:ascii="宋体" w:hAnsi="宋体" w:cs="宋体" w:hint="eastAsia"/>
        </w:rPr>
        <w:t>由中国绿色食品发展中心</w:t>
      </w:r>
      <w:r w:rsidR="00A109C3">
        <w:rPr>
          <w:rFonts w:ascii="宋体" w:hAnsi="宋体" w:cs="宋体" w:hint="eastAsia"/>
        </w:rPr>
        <w:t>设计、</w:t>
      </w:r>
      <w:r w:rsidR="00A109C3">
        <w:rPr>
          <w:rFonts w:ascii="宋体" w:hAnsi="宋体" w:cs="宋体"/>
        </w:rPr>
        <w:t>审核</w:t>
      </w:r>
      <w:r w:rsidR="00A109C3">
        <w:rPr>
          <w:rFonts w:ascii="宋体" w:hAnsi="宋体" w:cs="宋体" w:hint="eastAsia"/>
        </w:rPr>
        <w:t>并归口</w:t>
      </w:r>
      <w:r>
        <w:rPr>
          <w:rFonts w:ascii="宋体" w:hAnsi="宋体" w:cs="宋体" w:hint="eastAsia"/>
        </w:rPr>
        <w:t>。</w:t>
      </w:r>
    </w:p>
    <w:p w:rsidR="005F4F2A" w:rsidRDefault="00533984">
      <w:pPr>
        <w:pStyle w:val="10"/>
        <w:spacing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</w:t>
      </w:r>
      <w:r w:rsidR="00A109C3">
        <w:rPr>
          <w:rFonts w:ascii="宋体" w:hAnsi="宋体" w:cs="宋体" w:hint="eastAsia"/>
        </w:rPr>
        <w:t>文件</w:t>
      </w:r>
      <w:r>
        <w:rPr>
          <w:rFonts w:ascii="宋体" w:hAnsi="宋体" w:cs="宋体" w:hint="eastAsia"/>
        </w:rPr>
        <w:t>起草单位：四川省</w:t>
      </w:r>
      <w:r>
        <w:rPr>
          <w:rFonts w:hint="eastAsia"/>
          <w:color w:val="000000"/>
        </w:rPr>
        <w:t>绿色食品发展中心、</w:t>
      </w:r>
      <w:r w:rsidR="00932AAA">
        <w:rPr>
          <w:rFonts w:hint="eastAsia"/>
          <w:color w:val="000000"/>
        </w:rPr>
        <w:t>中国</w:t>
      </w:r>
      <w:r w:rsidR="00932AAA">
        <w:rPr>
          <w:color w:val="000000"/>
        </w:rPr>
        <w:t>绿色</w:t>
      </w:r>
      <w:r w:rsidR="00932AAA">
        <w:rPr>
          <w:rFonts w:hint="eastAsia"/>
          <w:color w:val="000000"/>
        </w:rPr>
        <w:t>食品</w:t>
      </w:r>
      <w:r w:rsidR="00932AAA">
        <w:rPr>
          <w:color w:val="000000"/>
        </w:rPr>
        <w:t>发展中心、</w:t>
      </w:r>
      <w:r>
        <w:rPr>
          <w:rFonts w:hint="eastAsia"/>
          <w:color w:val="000000"/>
        </w:rPr>
        <w:t>成都市农产品质量安全中心、贵州省绿色食品发展中心、铜仁市农产品质量安全检测测试中心、浙江省农产品绿色发展中心、重庆市农产品质量安全中心、</w:t>
      </w:r>
      <w:r>
        <w:rPr>
          <w:rFonts w:ascii="宋体" w:hAnsi="宋体" w:cs="宋体" w:hint="eastAsia"/>
        </w:rPr>
        <w:t>四川省草业技术研究推广中心</w:t>
      </w:r>
    </w:p>
    <w:p w:rsidR="005F4F2A" w:rsidRDefault="00533984">
      <w:pPr>
        <w:pStyle w:val="10"/>
        <w:spacing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</w:t>
      </w:r>
      <w:r w:rsidR="00A109C3">
        <w:rPr>
          <w:rFonts w:ascii="宋体" w:hAnsi="宋体" w:cs="宋体" w:hint="eastAsia"/>
        </w:rPr>
        <w:t>文件</w:t>
      </w:r>
      <w:r>
        <w:rPr>
          <w:rFonts w:ascii="宋体" w:hAnsi="宋体" w:cs="宋体" w:hint="eastAsia"/>
        </w:rPr>
        <w:t>主要起草人：毛雯、李炫颖、</w:t>
      </w:r>
      <w:r w:rsidR="00C74785">
        <w:rPr>
          <w:rFonts w:ascii="宋体" w:hAnsi="宋体" w:cs="宋体" w:hint="eastAsia"/>
        </w:rPr>
        <w:t>宋晓</w:t>
      </w:r>
      <w:r w:rsidR="00C74785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白娜、曾顺友、于嘉欣、任晓慧、张瑞、郭义军、</w:t>
      </w:r>
      <w:r w:rsidR="00C74785">
        <w:rPr>
          <w:rFonts w:ascii="宋体" w:hAnsi="宋体" w:cs="宋体" w:hint="eastAsia"/>
        </w:rPr>
        <w:t>乔春楠</w:t>
      </w:r>
      <w:r w:rsidR="00C74785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丁野、邓科、薛莞莞</w:t>
      </w:r>
      <w:r w:rsidR="00E95382">
        <w:rPr>
          <w:rFonts w:ascii="宋体" w:hAnsi="宋体" w:cs="宋体" w:hint="eastAsia"/>
        </w:rPr>
        <w:t>。</w:t>
      </w:r>
    </w:p>
    <w:p w:rsidR="00932AAA" w:rsidRPr="00C74785" w:rsidRDefault="00932AAA">
      <w:pPr>
        <w:pStyle w:val="10"/>
        <w:spacing w:line="400" w:lineRule="atLeast"/>
        <w:contextualSpacing/>
        <w:jc w:val="left"/>
        <w:rPr>
          <w:rFonts w:ascii="宋体" w:hAnsi="宋体" w:cs="宋体"/>
        </w:rPr>
        <w:sectPr w:rsidR="00932AAA" w:rsidRPr="00C74785" w:rsidSect="003E273D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440" w:right="1800" w:bottom="1440" w:left="1800" w:header="851" w:footer="992" w:gutter="0"/>
          <w:pgNumType w:fmt="upperRoman" w:start="1"/>
          <w:cols w:space="425"/>
          <w:titlePg/>
          <w:docGrid w:type="lines" w:linePitch="312"/>
        </w:sectPr>
      </w:pPr>
    </w:p>
    <w:p w:rsidR="005F4F2A" w:rsidRDefault="00533984">
      <w:pPr>
        <w:pStyle w:val="10"/>
        <w:spacing w:beforeLines="50" w:before="156" w:afterLines="50" w:after="156" w:line="360" w:lineRule="auto"/>
        <w:ind w:left="357" w:firstLineChars="0" w:firstLine="0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绿色食品桑葚生产操作规程</w:t>
      </w:r>
    </w:p>
    <w:p w:rsidR="004C06BA" w:rsidRDefault="004C06BA">
      <w:pPr>
        <w:pStyle w:val="10"/>
        <w:spacing w:beforeLines="50" w:before="156" w:afterLines="50" w:after="156" w:line="360" w:lineRule="auto"/>
        <w:ind w:left="357" w:firstLineChars="0" w:firstLine="0"/>
        <w:jc w:val="center"/>
        <w:rPr>
          <w:rFonts w:ascii="黑体" w:eastAsia="黑体" w:hAnsi="黑体" w:cs="黑体"/>
          <w:sz w:val="32"/>
          <w:szCs w:val="32"/>
        </w:rPr>
      </w:pPr>
    </w:p>
    <w:p w:rsidR="005F4F2A" w:rsidRPr="004C06BA" w:rsidRDefault="00533984" w:rsidP="004C06BA">
      <w:pPr>
        <w:pStyle w:val="1"/>
      </w:pPr>
      <w:r>
        <w:t xml:space="preserve">1 </w:t>
      </w:r>
      <w:r>
        <w:rPr>
          <w:rFonts w:hint="eastAsia"/>
        </w:rPr>
        <w:t>范围</w:t>
      </w:r>
    </w:p>
    <w:p w:rsidR="005F4F2A" w:rsidRDefault="00533984" w:rsidP="004C06BA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本</w:t>
      </w:r>
      <w:r w:rsidR="00A109C3">
        <w:rPr>
          <w:rFonts w:ascii="宋体" w:hAnsi="宋体" w:cs="宋体" w:hint="eastAsia"/>
        </w:rPr>
        <w:t>文件</w:t>
      </w:r>
      <w:r>
        <w:rPr>
          <w:rFonts w:ascii="宋体" w:hAnsi="宋体" w:cs="宋体" w:hint="eastAsia"/>
        </w:rPr>
        <w:t>规定了绿色食品桑葚生产的</w:t>
      </w:r>
      <w:r w:rsidR="00E95382">
        <w:rPr>
          <w:rFonts w:ascii="宋体" w:hAnsi="宋体" w:cs="宋体" w:hint="eastAsia"/>
        </w:rPr>
        <w:t>果园建设</w:t>
      </w:r>
      <w:r>
        <w:rPr>
          <w:rFonts w:ascii="宋体" w:hAnsi="宋体" w:cs="宋体" w:hint="eastAsia"/>
        </w:rPr>
        <w:t>、品种</w:t>
      </w:r>
      <w:r w:rsidR="00E95382">
        <w:rPr>
          <w:rFonts w:ascii="宋体" w:hAnsi="宋体" w:cs="宋体" w:hint="eastAsia"/>
        </w:rPr>
        <w:t>及</w:t>
      </w:r>
      <w:r>
        <w:rPr>
          <w:rFonts w:ascii="宋体" w:hAnsi="宋体" w:cs="宋体" w:hint="eastAsia"/>
        </w:rPr>
        <w:t>苗木培育、</w:t>
      </w:r>
      <w:r w:rsidR="00E95382">
        <w:rPr>
          <w:rFonts w:ascii="宋体" w:hAnsi="宋体" w:cs="宋体" w:hint="eastAsia"/>
        </w:rPr>
        <w:t>栽植</w:t>
      </w:r>
      <w:r>
        <w:rPr>
          <w:rFonts w:ascii="宋体" w:hAnsi="宋体" w:cs="宋体" w:hint="eastAsia"/>
        </w:rPr>
        <w:t>、</w:t>
      </w:r>
      <w:r w:rsidR="00E95382">
        <w:rPr>
          <w:rFonts w:ascii="宋体" w:hAnsi="宋体" w:cs="宋体" w:hint="eastAsia"/>
        </w:rPr>
        <w:t>田间管理</w:t>
      </w:r>
      <w:r>
        <w:rPr>
          <w:rFonts w:ascii="宋体" w:hAnsi="宋体" w:cs="宋体" w:hint="eastAsia"/>
        </w:rPr>
        <w:t>、</w:t>
      </w:r>
      <w:r w:rsidR="00E95382">
        <w:rPr>
          <w:rFonts w:ascii="宋体" w:hAnsi="宋体" w:cs="宋体" w:hint="eastAsia"/>
        </w:rPr>
        <w:t>采收</w:t>
      </w:r>
      <w:r>
        <w:rPr>
          <w:rFonts w:ascii="宋体" w:hAnsi="宋体" w:cs="宋体" w:hint="eastAsia"/>
        </w:rPr>
        <w:t>、包装储</w:t>
      </w:r>
      <w:r w:rsidR="003C06FF">
        <w:rPr>
          <w:rFonts w:ascii="宋体" w:hAnsi="宋体" w:cs="宋体" w:hint="eastAsia"/>
        </w:rPr>
        <w:t>藏</w:t>
      </w:r>
      <w:r>
        <w:rPr>
          <w:rFonts w:ascii="宋体" w:hAnsi="宋体" w:cs="宋体" w:hint="eastAsia"/>
        </w:rPr>
        <w:t>与运输、生产废弃物处理、</w:t>
      </w:r>
      <w:r w:rsidR="00E95382">
        <w:rPr>
          <w:rFonts w:ascii="宋体" w:hAnsi="宋体" w:cs="宋体" w:hint="eastAsia"/>
        </w:rPr>
        <w:t>生产</w:t>
      </w:r>
      <w:r>
        <w:rPr>
          <w:rFonts w:ascii="宋体" w:hAnsi="宋体" w:cs="宋体" w:hint="eastAsia"/>
        </w:rPr>
        <w:t>档案管理。</w:t>
      </w:r>
    </w:p>
    <w:p w:rsidR="005F4F2A" w:rsidRDefault="00533984" w:rsidP="004C06BA">
      <w:pPr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本</w:t>
      </w:r>
      <w:r w:rsidR="00A109C3">
        <w:rPr>
          <w:rFonts w:ascii="宋体" w:hAnsi="宋体" w:cs="宋体" w:hint="eastAsia"/>
        </w:rPr>
        <w:t>文件</w:t>
      </w:r>
      <w:r>
        <w:rPr>
          <w:rFonts w:ascii="宋体" w:hAnsi="宋体" w:cs="宋体" w:hint="eastAsia"/>
        </w:rPr>
        <w:t>适用于全国绿色食品桑葚生产。</w:t>
      </w:r>
    </w:p>
    <w:p w:rsidR="005F4F2A" w:rsidRDefault="00533984" w:rsidP="004C06BA">
      <w:pPr>
        <w:pStyle w:val="1"/>
      </w:pPr>
      <w:r>
        <w:t xml:space="preserve">2 </w:t>
      </w:r>
      <w:r>
        <w:rPr>
          <w:rFonts w:hint="eastAsia"/>
        </w:rPr>
        <w:t>规范性引用文件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/>
        </w:rPr>
      </w:pPr>
      <w:r>
        <w:rPr>
          <w:rFonts w:ascii="宋体" w:hAnsi="宋体" w:cs="宋体" w:hint="eastAsia"/>
        </w:rPr>
        <w:t>下列文件对于本文件的应用是必不可少的。凡是标注日期的引用文件，仅标注日期的版本适用于本文件。凡是不标注日期的引用文件，其最新版本（包括所有的修改单）适用于本文件。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/>
        </w:rPr>
      </w:pPr>
      <w:r>
        <w:rPr>
          <w:rFonts w:ascii="宋体" w:hAnsi="宋体" w:cs="宋体"/>
        </w:rPr>
        <w:t xml:space="preserve">NY/T 391  </w:t>
      </w:r>
      <w:r>
        <w:rPr>
          <w:rFonts w:ascii="宋体" w:hAnsi="宋体" w:cs="宋体" w:hint="eastAsia"/>
        </w:rPr>
        <w:t>绿色食品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</w:rPr>
        <w:t>产地环境质量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/>
        </w:rPr>
      </w:pPr>
      <w:r>
        <w:rPr>
          <w:rFonts w:ascii="宋体" w:hAnsi="宋体" w:cs="宋体"/>
        </w:rPr>
        <w:t xml:space="preserve">NY/T 393  </w:t>
      </w:r>
      <w:r>
        <w:rPr>
          <w:rFonts w:ascii="宋体" w:hAnsi="宋体" w:cs="宋体" w:hint="eastAsia"/>
        </w:rPr>
        <w:t>绿色食品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</w:rPr>
        <w:t>农药使用准则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 xml:space="preserve">NY/T 394  </w:t>
      </w:r>
      <w:r>
        <w:rPr>
          <w:rFonts w:ascii="宋体" w:hAnsi="宋体" w:cs="宋体" w:hint="eastAsia"/>
        </w:rPr>
        <w:t>绿色食品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</w:rPr>
        <w:t>肥料使用准则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 xml:space="preserve">NY/T </w:t>
      </w:r>
      <w:r>
        <w:rPr>
          <w:rFonts w:ascii="宋体" w:hAnsi="宋体" w:cs="宋体" w:hint="eastAsia"/>
        </w:rPr>
        <w:t>658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绿色食品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</w:rPr>
        <w:t>包装通用准则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NY/T </w:t>
      </w:r>
      <w:r>
        <w:rPr>
          <w:rFonts w:ascii="宋体" w:hAnsi="宋体" w:cs="宋体" w:hint="eastAsia"/>
          <w:color w:val="000000"/>
        </w:rPr>
        <w:t xml:space="preserve">1056 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绿色食品</w:t>
      </w:r>
      <w:r>
        <w:rPr>
          <w:rFonts w:ascii="宋体" w:hAnsi="宋体" w:cs="宋体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储藏运输准则</w:t>
      </w:r>
    </w:p>
    <w:p w:rsidR="005F4F2A" w:rsidRDefault="00533984" w:rsidP="004C06BA">
      <w:pPr>
        <w:pStyle w:val="1"/>
      </w:pPr>
      <w:r>
        <w:t xml:space="preserve">3 </w:t>
      </w:r>
      <w:r>
        <w:rPr>
          <w:rFonts w:hint="eastAsia"/>
        </w:rPr>
        <w:t>果园建设</w:t>
      </w:r>
    </w:p>
    <w:p w:rsidR="005F4F2A" w:rsidRDefault="00533984" w:rsidP="004C06BA">
      <w:pPr>
        <w:pStyle w:val="20"/>
      </w:pPr>
      <w:r>
        <w:rPr>
          <w:rFonts w:hint="eastAsia"/>
        </w:rPr>
        <w:t>3.1产地环境</w:t>
      </w:r>
    </w:p>
    <w:p w:rsidR="005F4F2A" w:rsidRDefault="00533984" w:rsidP="004C06BA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产地环境条件应符合</w:t>
      </w:r>
      <w:r>
        <w:rPr>
          <w:rFonts w:ascii="宋体" w:hAnsi="宋体" w:cs="宋体"/>
        </w:rPr>
        <w:t xml:space="preserve"> NY/T 391</w:t>
      </w:r>
      <w:r>
        <w:rPr>
          <w:rFonts w:ascii="宋体" w:hAnsi="宋体" w:cs="宋体" w:hint="eastAsia"/>
        </w:rPr>
        <w:t>的规定。建园选择</w:t>
      </w:r>
      <w:r w:rsidR="00A033CF" w:rsidRPr="00F97898">
        <w:rPr>
          <w:rFonts w:hint="eastAsia"/>
        </w:rPr>
        <w:t>应选择生态环境良好、无污染的地区，远离工矿区、</w:t>
      </w:r>
      <w:r w:rsidR="00A033CF" w:rsidRPr="00FF069E">
        <w:rPr>
          <w:rFonts w:hint="eastAsia"/>
          <w:lang w:bidi="ar"/>
        </w:rPr>
        <w:t>公路铁路干线和生活区</w:t>
      </w:r>
      <w:r w:rsidR="00A033CF" w:rsidRPr="00F97898">
        <w:rPr>
          <w:rFonts w:hint="eastAsia"/>
        </w:rPr>
        <w:t>，避开污染源</w:t>
      </w:r>
      <w:r w:rsidR="00A033CF">
        <w:rPr>
          <w:rFonts w:hint="eastAsia"/>
        </w:rPr>
        <w:t>。</w:t>
      </w:r>
      <w:r>
        <w:rPr>
          <w:rFonts w:ascii="宋体" w:hAnsi="宋体" w:cs="宋体" w:hint="eastAsia"/>
        </w:rPr>
        <w:t>选择土壤背景值正常，土层深厚、肥力中等以上，pH 值 4.5 ～ 8.0 的壤土或沙壤土。</w:t>
      </w:r>
    </w:p>
    <w:p w:rsidR="005F4F2A" w:rsidRDefault="00533984" w:rsidP="004C06BA">
      <w:pPr>
        <w:pStyle w:val="20"/>
      </w:pPr>
      <w:r>
        <w:rPr>
          <w:rFonts w:hint="eastAsia"/>
        </w:rPr>
        <w:t>3.2气候条件</w:t>
      </w:r>
    </w:p>
    <w:p w:rsidR="005F4F2A" w:rsidRDefault="00533984" w:rsidP="004C06BA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选择年平均气温15℃</w:t>
      </w:r>
      <w:r>
        <w:rPr>
          <w:rFonts w:ascii="宋体" w:hAnsi="宋体" w:cs="宋体" w:hint="eastAsia"/>
        </w:rPr>
        <w:t>～</w:t>
      </w:r>
      <w:r>
        <w:rPr>
          <w:rFonts w:ascii="宋体" w:hAnsi="宋体" w:cs="宋体" w:hint="eastAsia"/>
          <w:color w:val="000000"/>
        </w:rPr>
        <w:t>25℃，年降雨量年降水量 400mm</w:t>
      </w:r>
      <w:r>
        <w:rPr>
          <w:rFonts w:ascii="宋体" w:hAnsi="宋体" w:cs="宋体" w:hint="eastAsia"/>
        </w:rPr>
        <w:t>～</w:t>
      </w:r>
      <w:r>
        <w:rPr>
          <w:rFonts w:ascii="宋体" w:hAnsi="宋体" w:cs="宋体" w:hint="eastAsia"/>
          <w:color w:val="000000"/>
        </w:rPr>
        <w:t>1000mm,，年平均日照2000h左右，霜冻期较短的地区。</w:t>
      </w:r>
    </w:p>
    <w:p w:rsidR="005F4F2A" w:rsidRDefault="00533984" w:rsidP="004C06BA">
      <w:pPr>
        <w:pStyle w:val="1"/>
      </w:pPr>
      <w:r>
        <w:t xml:space="preserve">4 </w:t>
      </w:r>
      <w:r>
        <w:rPr>
          <w:rFonts w:hint="eastAsia"/>
        </w:rPr>
        <w:t>品种及苗木培育</w:t>
      </w:r>
    </w:p>
    <w:p w:rsidR="005F4F2A" w:rsidRDefault="00533984" w:rsidP="004C06BA">
      <w:pPr>
        <w:pStyle w:val="20"/>
      </w:pPr>
      <w:r>
        <w:t xml:space="preserve">4.1 </w:t>
      </w:r>
      <w:r>
        <w:rPr>
          <w:rFonts w:hint="eastAsia"/>
        </w:rPr>
        <w:t>品种选择</w:t>
      </w:r>
    </w:p>
    <w:p w:rsidR="005F4F2A" w:rsidRDefault="00533984" w:rsidP="004C06BA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color w:val="000000"/>
          <w:kern w:val="0"/>
        </w:rPr>
        <w:t>品种应依据市场需求及当地气候环境条件进行选择</w:t>
      </w:r>
      <w:r>
        <w:rPr>
          <w:rFonts w:ascii="宋体" w:cs="宋体"/>
          <w:color w:val="000000"/>
          <w:kern w:val="0"/>
        </w:rPr>
        <w:t>,</w:t>
      </w:r>
      <w:r>
        <w:t>选择适应性强、抗病能力强、品质优良、产量高的桑葚品种</w:t>
      </w:r>
      <w:r>
        <w:rPr>
          <w:rFonts w:hint="eastAsia"/>
        </w:rPr>
        <w:t>，</w:t>
      </w:r>
      <w:r>
        <w:rPr>
          <w:rFonts w:ascii="宋体" w:hAnsi="宋体" w:cs="宋体" w:hint="eastAsia"/>
          <w:color w:val="000000"/>
          <w:kern w:val="0"/>
        </w:rPr>
        <w:t>推荐品种:粤椹大</w:t>
      </w:r>
      <w:r>
        <w:rPr>
          <w:rFonts w:ascii="宋体" w:hAnsi="宋体" w:cs="宋体"/>
          <w:color w:val="000000"/>
          <w:kern w:val="0"/>
        </w:rPr>
        <w:t>10</w:t>
      </w:r>
      <w:r>
        <w:rPr>
          <w:rFonts w:ascii="宋体" w:hAnsi="宋体" w:cs="宋体" w:hint="eastAsia"/>
          <w:color w:val="000000"/>
          <w:kern w:val="0"/>
        </w:rPr>
        <w:t>、白玉王、香金葚、</w:t>
      </w:r>
      <w:r>
        <w:rPr>
          <w:rFonts w:hint="eastAsia"/>
        </w:rPr>
        <w:t>嘉陵</w:t>
      </w:r>
      <w:r>
        <w:t>30</w:t>
      </w:r>
      <w:r>
        <w:rPr>
          <w:rFonts w:hint="eastAsia"/>
        </w:rPr>
        <w:t>号</w:t>
      </w:r>
      <w:r>
        <w:rPr>
          <w:rFonts w:ascii="宋体" w:hAnsi="宋体" w:cs="宋体" w:hint="eastAsia"/>
          <w:color w:val="000000"/>
          <w:kern w:val="0"/>
        </w:rPr>
        <w:t>等。</w:t>
      </w:r>
    </w:p>
    <w:p w:rsidR="005F4F2A" w:rsidRDefault="00533984" w:rsidP="004C06BA">
      <w:pPr>
        <w:pStyle w:val="20"/>
      </w:pPr>
      <w:r>
        <w:t xml:space="preserve">4.2 </w:t>
      </w:r>
      <w:r>
        <w:rPr>
          <w:rFonts w:hint="eastAsia"/>
        </w:rPr>
        <w:t>苗木培育</w:t>
      </w:r>
    </w:p>
    <w:p w:rsidR="005F4F2A" w:rsidRDefault="00533984" w:rsidP="004C06BA">
      <w:pPr>
        <w:pStyle w:val="3"/>
      </w:pPr>
      <w:r>
        <w:rPr>
          <w:rFonts w:hint="eastAsia"/>
        </w:rPr>
        <w:t>4.2.1砧木接穗选择</w:t>
      </w:r>
    </w:p>
    <w:p w:rsidR="005F4F2A" w:rsidRDefault="00533984" w:rsidP="004C06BA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砧木要选苗根发达、苗干充实、储藏养分多、无病虫害、大小适合嫁接的实生桑苗，接穗要选枝条充实、冬芽饱满、无病虫害的穗条。</w:t>
      </w:r>
    </w:p>
    <w:p w:rsidR="005F4F2A" w:rsidRDefault="00533984" w:rsidP="004C06BA">
      <w:pPr>
        <w:pStyle w:val="3"/>
      </w:pPr>
      <w:r>
        <w:rPr>
          <w:rFonts w:hint="eastAsia"/>
        </w:rPr>
        <w:lastRenderedPageBreak/>
        <w:t>4.2.2苗床环境调节</w:t>
      </w:r>
    </w:p>
    <w:p w:rsidR="005F4F2A" w:rsidRDefault="00533984" w:rsidP="004C06BA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苗床选择向阳、地势高、土层深厚、排灌方便的沙壤土为宜，苗床拉绳南北向定床，东西向开沟，依次排放嫁接体，排放时应让嫁接体根系舒展，顶部平齐，排满一行后用湿润细土壅好嫁接体，尽可能将根部、接口及穗头部位都覆上土，最好再用床内湿润细土从上部填充嫁接体间隙，填满后上面盖3～5cm细土，然后覆盖薄膜增温，薄膜上面撒一层稻草调温。</w:t>
      </w:r>
    </w:p>
    <w:p w:rsidR="005F4F2A" w:rsidRDefault="00533984" w:rsidP="004C06BA">
      <w:pPr>
        <w:pStyle w:val="1"/>
      </w:pPr>
      <w:r>
        <w:t xml:space="preserve">5 </w:t>
      </w:r>
      <w:r>
        <w:rPr>
          <w:rFonts w:hint="eastAsia"/>
        </w:rPr>
        <w:t>栽植</w:t>
      </w:r>
    </w:p>
    <w:p w:rsidR="005F4F2A" w:rsidRDefault="00533984" w:rsidP="004C06BA">
      <w:pPr>
        <w:pStyle w:val="20"/>
      </w:pPr>
      <w:r>
        <w:t>5.</w:t>
      </w:r>
      <w:r>
        <w:rPr>
          <w:rFonts w:hint="eastAsia"/>
        </w:rPr>
        <w:t>1栽植时间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Calibri" w:cs="宋体"/>
        </w:rPr>
      </w:pPr>
      <w:r>
        <w:rPr>
          <w:rFonts w:ascii="宋体" w:hAnsi="Calibri" w:cs="宋体" w:hint="eastAsia"/>
        </w:rPr>
        <w:t>当苗梢长到40</w:t>
      </w:r>
      <w:r>
        <w:rPr>
          <w:rFonts w:ascii="宋体" w:hAnsi="宋体" w:cs="宋体" w:hint="eastAsia"/>
        </w:rPr>
        <w:t>～</w:t>
      </w:r>
      <w:r>
        <w:rPr>
          <w:rFonts w:ascii="宋体" w:hAnsi="Calibri" w:cs="宋体" w:hint="eastAsia"/>
        </w:rPr>
        <w:t>50cm时，就可由苗圃移栽至定植园，移栽时间一般在春季土壤解冻后至发芽前和秋季落叶后至封冻前。</w:t>
      </w:r>
    </w:p>
    <w:p w:rsidR="005F4F2A" w:rsidRDefault="00533984" w:rsidP="004C06BA">
      <w:pPr>
        <w:pStyle w:val="20"/>
        <w:rPr>
          <w:rFonts w:ascii="宋体"/>
          <w:color w:val="000000"/>
          <w:kern w:val="0"/>
        </w:rPr>
      </w:pPr>
      <w:r>
        <w:t>5.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定植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Calibri" w:cs="宋体"/>
          <w:highlight w:val="yellow"/>
        </w:rPr>
      </w:pPr>
      <w:r>
        <w:rPr>
          <w:rFonts w:ascii="宋体" w:hAnsi="Calibri" w:cs="宋体" w:hint="eastAsia"/>
        </w:rPr>
        <w:t>栽植时，将苗木放在定植穴中央，理直根系，扶正主干，然后边填土，边踏实，同时用手轻轻向上提苗，确保根系与土壤密接。栽后立即灌足定根水，待水渗下后覆土保墒，覆盖地膜。寒冷地区秋栽后需培30</w:t>
      </w:r>
      <w:r>
        <w:rPr>
          <w:rFonts w:ascii="宋体" w:hAnsi="宋体" w:cs="宋体" w:hint="eastAsia"/>
        </w:rPr>
        <w:t>～</w:t>
      </w:r>
      <w:r>
        <w:rPr>
          <w:rFonts w:ascii="宋体" w:hAnsi="Calibri" w:cs="宋体" w:hint="eastAsia"/>
        </w:rPr>
        <w:t>50 cm土堆护干。常规品种种植密度建议每亩150</w:t>
      </w:r>
      <w:r>
        <w:rPr>
          <w:rFonts w:ascii="宋体" w:hAnsi="宋体" w:cs="宋体" w:hint="eastAsia"/>
        </w:rPr>
        <w:t>～</w:t>
      </w:r>
      <w:r>
        <w:rPr>
          <w:rFonts w:ascii="宋体" w:hAnsi="Calibri" w:cs="宋体" w:hint="eastAsia"/>
        </w:rPr>
        <w:t>170株。</w:t>
      </w:r>
    </w:p>
    <w:p w:rsidR="005F4F2A" w:rsidRDefault="00533984" w:rsidP="004C06BA">
      <w:pPr>
        <w:pStyle w:val="1"/>
      </w:pPr>
      <w:r>
        <w:t xml:space="preserve">6 </w:t>
      </w:r>
      <w:r>
        <w:rPr>
          <w:rFonts w:hint="eastAsia"/>
        </w:rPr>
        <w:t>田间管理</w:t>
      </w:r>
    </w:p>
    <w:p w:rsidR="005F4F2A" w:rsidRDefault="00533984" w:rsidP="004C06BA">
      <w:pPr>
        <w:pStyle w:val="20"/>
      </w:pPr>
      <w:r>
        <w:t>6.</w:t>
      </w:r>
      <w:r>
        <w:rPr>
          <w:rFonts w:hint="eastAsia"/>
        </w:rPr>
        <w:t>1</w:t>
      </w:r>
      <w:r>
        <w:t xml:space="preserve"> </w:t>
      </w:r>
      <w:r>
        <w:rPr>
          <w:rFonts w:hint="eastAsia"/>
        </w:rPr>
        <w:t>肥料管理</w:t>
      </w:r>
    </w:p>
    <w:p w:rsidR="005F4F2A" w:rsidRDefault="00533984" w:rsidP="004C06BA">
      <w:pPr>
        <w:pStyle w:val="3"/>
      </w:pPr>
      <w:r>
        <w:t>6.</w:t>
      </w:r>
      <w:r>
        <w:rPr>
          <w:rFonts w:hint="eastAsia"/>
        </w:rPr>
        <w:t>1</w:t>
      </w:r>
      <w:r>
        <w:t xml:space="preserve">.1 </w:t>
      </w:r>
      <w:r>
        <w:rPr>
          <w:rFonts w:hint="eastAsia"/>
        </w:rPr>
        <w:t>施肥原则</w:t>
      </w:r>
    </w:p>
    <w:p w:rsidR="005F4F2A" w:rsidRDefault="00533984" w:rsidP="004C06BA">
      <w:pPr>
        <w:pStyle w:val="a7"/>
        <w:adjustRightInd w:val="0"/>
        <w:snapToGrid w:val="0"/>
        <w:spacing w:line="360" w:lineRule="auto"/>
        <w:ind w:firstLineChars="200"/>
        <w:rPr>
          <w:rFonts w:hAnsi="宋体"/>
        </w:rPr>
      </w:pPr>
      <w:r>
        <w:rPr>
          <w:rFonts w:hAnsi="宋体" w:hint="eastAsia"/>
        </w:rPr>
        <w:t>肥料使用应符合按照</w:t>
      </w:r>
      <w:r>
        <w:rPr>
          <w:rFonts w:hAnsi="宋体"/>
        </w:rPr>
        <w:t>NY/T 394</w:t>
      </w:r>
      <w:r>
        <w:rPr>
          <w:rFonts w:hAnsi="宋体" w:hint="eastAsia"/>
        </w:rPr>
        <w:t>的规定。根据桑树施肥规律进行平衡施肥或配方施肥</w:t>
      </w:r>
      <w:r>
        <w:rPr>
          <w:rFonts w:hAnsi="宋体"/>
        </w:rPr>
        <w:t>,</w:t>
      </w:r>
      <w:r>
        <w:rPr>
          <w:rFonts w:hAnsi="宋体" w:hint="eastAsia"/>
        </w:rPr>
        <w:t>以有机肥为主，化肥为辅，使用的商品肥料应是在农业行政主管部</w:t>
      </w:r>
      <w:r w:rsidR="00F135F0">
        <w:rPr>
          <w:rFonts w:hAnsi="宋体" w:hint="eastAsia"/>
        </w:rPr>
        <w:t>门</w:t>
      </w:r>
      <w:r>
        <w:rPr>
          <w:rFonts w:hAnsi="宋体" w:hint="eastAsia"/>
        </w:rPr>
        <w:t>登记使用或免于登记的的肥料。</w:t>
      </w:r>
    </w:p>
    <w:p w:rsidR="005F4F2A" w:rsidRDefault="00533984" w:rsidP="004C06BA">
      <w:pPr>
        <w:pStyle w:val="3"/>
      </w:pPr>
      <w:r>
        <w:t>6.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 w:rsidR="00F135F0">
        <w:t xml:space="preserve"> </w:t>
      </w:r>
      <w:r>
        <w:rPr>
          <w:rFonts w:hint="eastAsia"/>
        </w:rPr>
        <w:t>施肥时期和方法</w:t>
      </w:r>
    </w:p>
    <w:p w:rsidR="005F4F2A" w:rsidRDefault="00533984" w:rsidP="004C06BA">
      <w:pPr>
        <w:pStyle w:val="4"/>
      </w:pPr>
      <w:r>
        <w:t>6.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 xml:space="preserve">.1 </w:t>
      </w:r>
      <w:r>
        <w:rPr>
          <w:rFonts w:hint="eastAsia"/>
        </w:rPr>
        <w:t>基肥</w:t>
      </w:r>
    </w:p>
    <w:p w:rsidR="005F4F2A" w:rsidRDefault="00533984" w:rsidP="004C06BA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在春桑萌芽前25～30d施芽前肥，以优质有机肥和氮磷钾肥为主。在桑树的左右两边，各挖一条深、宽都为25～30cm的沟，然后每米沟施沤制腐熟的有机肥3～5kg、氮磷钾复合肥0.5～1kg，灌透水，沉实，覆底土保</w:t>
      </w:r>
      <w:r>
        <w:rPr>
          <w:rFonts w:ascii="宋体" w:hAnsi="宋体" w:cs="宋体" w:hint="eastAsia"/>
          <w:color w:val="000000"/>
          <w:kern w:val="0"/>
          <w:lang w:bidi="ar"/>
        </w:rPr>
        <w:t>墒。</w:t>
      </w:r>
    </w:p>
    <w:p w:rsidR="005F4F2A" w:rsidRDefault="00533984" w:rsidP="004C06BA">
      <w:pPr>
        <w:pStyle w:val="4"/>
      </w:pPr>
      <w:r>
        <w:t>6.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 xml:space="preserve">.2 </w:t>
      </w:r>
      <w:r>
        <w:rPr>
          <w:rFonts w:hint="eastAsia"/>
        </w:rPr>
        <w:t>追肥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宋体" w:cs="宋体"/>
          <w:color w:val="0000FF"/>
          <w:shd w:val="clear" w:color="auto" w:fill="FFFFFF"/>
        </w:rPr>
      </w:pPr>
      <w:r>
        <w:rPr>
          <w:rFonts w:ascii="宋体" w:hAnsi="宋体" w:cs="宋体" w:hint="eastAsia"/>
          <w:color w:val="333333"/>
          <w:shd w:val="clear" w:color="auto" w:fill="FFFFFF"/>
        </w:rPr>
        <w:t>桑树进入休眠期后，在当年的12月底至翌年1月施入追肥，应选择有机质含量丰富，肥效持久的堆肥、厩肥、沤肥等农家土杂肥，每亩桑园追施有机肥3-</w:t>
      </w:r>
      <w:r w:rsidR="00F135F0">
        <w:rPr>
          <w:rFonts w:ascii="宋体" w:hAnsi="宋体" w:cs="宋体" w:hint="eastAsia"/>
          <w:color w:val="333333"/>
          <w:shd w:val="clear" w:color="auto" w:fill="FFFFFF"/>
        </w:rPr>
        <w:t>4吨</w:t>
      </w:r>
      <w:r>
        <w:rPr>
          <w:rFonts w:ascii="宋体" w:hAnsi="宋体" w:cs="宋体" w:hint="eastAsia"/>
          <w:color w:val="333333"/>
          <w:shd w:val="clear" w:color="auto" w:fill="FFFFFF"/>
        </w:rPr>
        <w:t>。</w:t>
      </w:r>
    </w:p>
    <w:p w:rsidR="005F4F2A" w:rsidRDefault="00533984" w:rsidP="004C06BA">
      <w:pPr>
        <w:pStyle w:val="4"/>
      </w:pPr>
      <w:r>
        <w:t>6.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 xml:space="preserve">.3 </w:t>
      </w:r>
      <w:r>
        <w:rPr>
          <w:rFonts w:hint="eastAsia"/>
        </w:rPr>
        <w:t>根外追肥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宋体" w:cs="宋体"/>
          <w:color w:val="333333"/>
          <w:shd w:val="clear" w:color="auto" w:fill="FFFFFF"/>
        </w:rPr>
      </w:pPr>
      <w:r>
        <w:rPr>
          <w:rFonts w:ascii="宋体" w:hAnsi="宋体" w:cs="宋体" w:hint="eastAsia"/>
          <w:color w:val="333333"/>
          <w:shd w:val="clear" w:color="auto" w:fill="FFFFFF"/>
        </w:rPr>
        <w:t>在生长期可用0.3%尿素+0.3%磷酸二钾溶液喷桑叶。</w:t>
      </w:r>
    </w:p>
    <w:p w:rsidR="005F4F2A" w:rsidRDefault="00533984" w:rsidP="004C06BA">
      <w:pPr>
        <w:pStyle w:val="20"/>
      </w:pPr>
      <w:r>
        <w:t>6.</w:t>
      </w:r>
      <w:r>
        <w:rPr>
          <w:rFonts w:hint="eastAsia"/>
        </w:rPr>
        <w:t>2</w:t>
      </w:r>
      <w:r w:rsidR="00F135F0">
        <w:t xml:space="preserve"> </w:t>
      </w:r>
      <w:r>
        <w:rPr>
          <w:rFonts w:hint="eastAsia"/>
        </w:rPr>
        <w:t>水分管理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在桑树萌芽抽叶期间，要保证有充足的水分供应，速灌速排，防止积水。同时，用干枯稻草或其它杂草</w:t>
      </w:r>
      <w:r w:rsidR="00A033CF">
        <w:rPr>
          <w:rFonts w:ascii="宋体" w:hAnsi="宋体" w:cs="宋体" w:hint="eastAsia"/>
          <w:color w:val="000000"/>
        </w:rPr>
        <w:t>或</w:t>
      </w:r>
      <w:r w:rsidR="00A033CF">
        <w:rPr>
          <w:rFonts w:ascii="宋体" w:hAnsi="宋体" w:cs="宋体"/>
          <w:color w:val="000000"/>
        </w:rPr>
        <w:t>可降解</w:t>
      </w:r>
      <w:r w:rsidR="00A033CF">
        <w:rPr>
          <w:rFonts w:ascii="宋体" w:hAnsi="宋体" w:cs="宋体" w:hint="eastAsia"/>
          <w:color w:val="000000"/>
        </w:rPr>
        <w:t>薄膜</w:t>
      </w:r>
      <w:r>
        <w:rPr>
          <w:rFonts w:ascii="宋体" w:hAnsi="宋体" w:cs="宋体" w:hint="eastAsia"/>
          <w:color w:val="000000"/>
        </w:rPr>
        <w:t>将桑树株行间的土壤覆盖住，草厚5</w:t>
      </w:r>
      <w:r>
        <w:rPr>
          <w:rFonts w:ascii="宋体" w:hAnsi="宋体" w:cs="宋体" w:hint="eastAsia"/>
        </w:rPr>
        <w:t>～</w:t>
      </w:r>
      <w:r>
        <w:rPr>
          <w:rFonts w:ascii="宋体" w:hAnsi="宋体" w:cs="宋体" w:hint="eastAsia"/>
          <w:color w:val="000000"/>
        </w:rPr>
        <w:t>6cm，以减少水分损失。</w:t>
      </w:r>
    </w:p>
    <w:p w:rsidR="005F4F2A" w:rsidRDefault="00533984" w:rsidP="004C06BA">
      <w:pPr>
        <w:pStyle w:val="20"/>
      </w:pPr>
      <w:r>
        <w:t>6.</w:t>
      </w:r>
      <w:r>
        <w:rPr>
          <w:rFonts w:hint="eastAsia"/>
        </w:rPr>
        <w:t>3</w:t>
      </w:r>
      <w:r>
        <w:t xml:space="preserve"> </w:t>
      </w:r>
      <w:r>
        <w:rPr>
          <w:rFonts w:hint="eastAsia"/>
        </w:rPr>
        <w:t>树形培养</w:t>
      </w:r>
    </w:p>
    <w:p w:rsidR="005F4F2A" w:rsidRDefault="00533984" w:rsidP="004C06BA">
      <w:pPr>
        <w:pStyle w:val="a7"/>
        <w:adjustRightInd w:val="0"/>
        <w:snapToGrid w:val="0"/>
        <w:spacing w:line="360" w:lineRule="auto"/>
        <w:ind w:firstLineChars="200"/>
        <w:rPr>
          <w:rFonts w:hAnsi="宋体"/>
        </w:rPr>
      </w:pPr>
      <w:r>
        <w:rPr>
          <w:rFonts w:hAnsi="宋体" w:hint="eastAsia"/>
        </w:rPr>
        <w:t>苗木定植后第一年，萌芽前在离地面50cm左右处剪梢定干，当新梢长到10～15 cm 时，</w:t>
      </w:r>
      <w:r>
        <w:rPr>
          <w:rFonts w:hAnsi="宋体" w:hint="eastAsia"/>
        </w:rPr>
        <w:lastRenderedPageBreak/>
        <w:t>选留上部生长健壮、着生位置均匀的新梢3个左右，其余疏除。第二年发芽前，对结果母枝轻短剪，桑采收后，在离地面70～75 cm 处进行夏伐，培养成第一支干，其余疏去，每株保留8-12个枝条。第三年结果后，在离地面95～105cm 处短剪，培养成二次支干，发芽后，每枝干留 2～3个新梢，每株养成15～20个枝条。若培养成拳式，则在第二枝干短剪处定拳，以后年年采果后在此部位短剪:若要培养成无拳式，则每年采果后在枝干留3～4芽短剪。</w:t>
      </w:r>
    </w:p>
    <w:p w:rsidR="005F4F2A" w:rsidRDefault="00533984" w:rsidP="004C06BA">
      <w:pPr>
        <w:pStyle w:val="20"/>
      </w:pPr>
      <w:r>
        <w:t>6.</w:t>
      </w:r>
      <w:r>
        <w:rPr>
          <w:rFonts w:hint="eastAsia"/>
        </w:rPr>
        <w:t>4病虫害防治</w:t>
      </w:r>
    </w:p>
    <w:p w:rsidR="005F4F2A" w:rsidRDefault="00533984" w:rsidP="004C06BA">
      <w:pPr>
        <w:pStyle w:val="3"/>
      </w:pPr>
      <w:r>
        <w:t>6.</w:t>
      </w:r>
      <w:r>
        <w:rPr>
          <w:rFonts w:hint="eastAsia"/>
        </w:rPr>
        <w:t>4</w:t>
      </w:r>
      <w:r>
        <w:t>.1</w:t>
      </w:r>
      <w:r>
        <w:rPr>
          <w:rFonts w:hint="eastAsia"/>
        </w:rPr>
        <w:t xml:space="preserve"> 防治原则</w:t>
      </w:r>
    </w:p>
    <w:p w:rsidR="00450027" w:rsidRDefault="00450027" w:rsidP="004C06BA">
      <w:pPr>
        <w:pStyle w:val="a7"/>
        <w:adjustRightInd w:val="0"/>
        <w:snapToGrid w:val="0"/>
        <w:spacing w:line="360" w:lineRule="auto"/>
        <w:ind w:firstLineChars="200"/>
        <w:rPr>
          <w:rFonts w:hAnsi="宋体" w:cs="Times New Roman"/>
        </w:rPr>
      </w:pPr>
      <w:r>
        <w:rPr>
          <w:rFonts w:hint="eastAsia"/>
        </w:rPr>
        <w:t>按照“预防为主、综合防治”的植保方针，在做好种苗</w:t>
      </w:r>
      <w:r w:rsidRPr="00864E8F">
        <w:rPr>
          <w:rFonts w:hint="eastAsia"/>
        </w:rPr>
        <w:t>检疫和病虫害田间监测的基础上，针对</w:t>
      </w:r>
      <w:r>
        <w:rPr>
          <w:rFonts w:hint="eastAsia"/>
        </w:rPr>
        <w:t>桑树</w:t>
      </w:r>
      <w:r w:rsidRPr="00864E8F">
        <w:rPr>
          <w:rFonts w:hint="eastAsia"/>
        </w:rPr>
        <w:t>不同生育期主要病虫害发生特点，</w:t>
      </w:r>
      <w:r w:rsidRPr="00943515">
        <w:rPr>
          <w:rFonts w:hAnsi="宋体" w:hint="eastAsia"/>
        </w:rPr>
        <w:t>优先采用农业措施</w:t>
      </w:r>
      <w:r w:rsidRPr="00864E8F">
        <w:rPr>
          <w:rFonts w:hint="eastAsia"/>
        </w:rPr>
        <w:t>、物理防治、生物防治，辅之以科学合理的化学防治的绿色防控技术，实现</w:t>
      </w:r>
      <w:r>
        <w:rPr>
          <w:rFonts w:hint="eastAsia"/>
        </w:rPr>
        <w:t>桑葚</w:t>
      </w:r>
      <w:r w:rsidRPr="00864E8F">
        <w:rPr>
          <w:rFonts w:hint="eastAsia"/>
        </w:rPr>
        <w:t>病虫害绿色防控和优质安全生产。</w:t>
      </w:r>
    </w:p>
    <w:p w:rsidR="005F4F2A" w:rsidRDefault="00533984" w:rsidP="004C06BA">
      <w:pPr>
        <w:pStyle w:val="3"/>
      </w:pPr>
      <w:r>
        <w:t>6.</w:t>
      </w:r>
      <w:r>
        <w:rPr>
          <w:rFonts w:hint="eastAsia"/>
        </w:rPr>
        <w:t>4</w:t>
      </w:r>
      <w:r>
        <w:t xml:space="preserve">.2 </w:t>
      </w:r>
      <w:r>
        <w:rPr>
          <w:rFonts w:hint="eastAsia"/>
        </w:rPr>
        <w:t>常见病虫害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Fonts w:asciiTheme="minorEastAsia" w:eastAsiaTheme="minorEastAsia" w:hAnsiTheme="minorEastAsia" w:cs="黑体" w:hint="eastAsia"/>
        </w:rPr>
        <w:t>病害：菌核病、</w:t>
      </w:r>
      <w:r>
        <w:rPr>
          <w:rFonts w:ascii="宋体" w:hAnsi="宋体" w:cs="宋体" w:hint="eastAsia"/>
        </w:rPr>
        <w:t>桑里白粉病、灰霉病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黑体" w:eastAsia="黑体" w:hAnsi="黑体" w:cs="黑体"/>
        </w:rPr>
      </w:pPr>
      <w:r>
        <w:rPr>
          <w:rFonts w:ascii="宋体" w:hAnsi="宋体" w:cs="宋体" w:hint="eastAsia"/>
        </w:rPr>
        <w:t>虫害：食心虫、蓟马、桑天牛、绿盲蝽</w:t>
      </w:r>
      <w:r>
        <w:rPr>
          <w:rFonts w:hAnsi="宋体" w:hint="eastAsia"/>
        </w:rPr>
        <w:t>等。</w:t>
      </w:r>
    </w:p>
    <w:p w:rsidR="005F4F2A" w:rsidRDefault="00533984" w:rsidP="004C06BA">
      <w:pPr>
        <w:pStyle w:val="3"/>
      </w:pPr>
      <w:r>
        <w:t>6.</w:t>
      </w:r>
      <w:r>
        <w:rPr>
          <w:rFonts w:hint="eastAsia"/>
        </w:rPr>
        <w:t>4</w:t>
      </w:r>
      <w:r>
        <w:t xml:space="preserve">.3 </w:t>
      </w:r>
      <w:r>
        <w:rPr>
          <w:rFonts w:hint="eastAsia"/>
        </w:rPr>
        <w:t>防治方法</w:t>
      </w:r>
    </w:p>
    <w:p w:rsidR="005F4F2A" w:rsidRDefault="00533984" w:rsidP="004C06BA">
      <w:pPr>
        <w:pStyle w:val="4"/>
      </w:pPr>
      <w:r>
        <w:rPr>
          <w:rFonts w:hint="eastAsia"/>
        </w:rPr>
        <w:t>6.4.3.1</w:t>
      </w:r>
      <w:r w:rsidR="00450027">
        <w:t xml:space="preserve"> </w:t>
      </w:r>
      <w:r>
        <w:rPr>
          <w:rFonts w:hint="eastAsia"/>
        </w:rPr>
        <w:t>农业防治</w:t>
      </w:r>
    </w:p>
    <w:p w:rsidR="005F4F2A" w:rsidRDefault="00533984" w:rsidP="004C06BA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选育抗性品种和培育无病苗木，以期提高树体自身抗体，抵制病虫侵入。秋冬季和初春，及时清理桑树地中病残枝败叶，进行</w:t>
      </w:r>
      <w:r>
        <w:rPr>
          <w:rFonts w:ascii="Segoe UI" w:hAnsi="Segoe UI" w:cs="Segoe UI"/>
          <w:color w:val="404040"/>
          <w:shd w:val="clear" w:color="auto" w:fill="FFFFFF"/>
        </w:rPr>
        <w:t>集中烧毁或深埋，减少</w:t>
      </w:r>
      <w:r w:rsidRPr="00C74785">
        <w:rPr>
          <w:rFonts w:ascii="宋体" w:hAnsi="宋体" w:cs="宋体" w:hint="eastAsia"/>
        </w:rPr>
        <w:t>越冬菌源</w:t>
      </w:r>
      <w:r w:rsidRPr="00450027">
        <w:rPr>
          <w:rFonts w:ascii="宋体" w:hAnsi="宋体" w:cs="宋体" w:hint="eastAsia"/>
        </w:rPr>
        <w:t>，</w:t>
      </w:r>
      <w:r w:rsidRPr="00C74785">
        <w:rPr>
          <w:rFonts w:ascii="宋体" w:hAnsi="宋体" w:cs="宋体" w:hint="eastAsia"/>
        </w:rPr>
        <w:t>增施有机肥和磷钾肥，避免偏施氮肥，增强树势。</w:t>
      </w:r>
    </w:p>
    <w:p w:rsidR="005F4F2A" w:rsidRDefault="00533984" w:rsidP="004C06BA">
      <w:pPr>
        <w:pStyle w:val="4"/>
        <w:rPr>
          <w:rFonts w:cs="Times New Roman"/>
        </w:rPr>
      </w:pPr>
      <w:r>
        <w:t>6.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>3.2 物理防治</w:t>
      </w:r>
    </w:p>
    <w:p w:rsidR="005F4F2A" w:rsidRDefault="00533984" w:rsidP="004C06BA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定期巡查果园，发现叶片出现白粉病、炭疽病，或果实出现腐烂、畸形时，立即用剪刀剪下病部，装入密封袋带出果园烧毁或深埋，尤其雨后需加强检查。针对桑天牛5～6 月成虫羽化期，人工捕捉停留在枝条上的成虫；发现枝条有新鲜虫粪时，用铁丝伸入蛀孔刺杀幼虫，或注入生石灰水封堵蛀孔，闷杀幼虫。还可以采取以下三种设施进行虫害防治。</w:t>
      </w:r>
    </w:p>
    <w:p w:rsidR="005F4F2A" w:rsidRDefault="00533984" w:rsidP="004C06BA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1.灯光诱捕：在果园内悬挂频振式杀虫灯，如桑螟虫、桑毛虫等。杀虫灯的悬挂高度为离地面 1.5～2m，每亩悬挂 1～2 盏，每天日落至日出时开启。</w:t>
      </w:r>
    </w:p>
    <w:p w:rsidR="005F4F2A" w:rsidRDefault="00533984" w:rsidP="004C06BA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2.色板诱捕：在果园内悬挂黄板或蓝板，诱捕有翅蚜、叶蝉、蓟马等小型害虫。黄板或蓝板的悬挂高度与桑树树冠顶部平齐，每亩悬挂 20～30 块，当色板上粘满害虫时及时更换。</w:t>
      </w:r>
    </w:p>
    <w:p w:rsidR="005F4F2A" w:rsidRDefault="00533984" w:rsidP="004C06BA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3.冬季管理：11月下旬至上旬落叶后，剪掉病虫害枝和枝条顶端未木质化部分。</w:t>
      </w:r>
    </w:p>
    <w:p w:rsidR="005F4F2A" w:rsidRDefault="00533984" w:rsidP="004C06BA">
      <w:pPr>
        <w:pStyle w:val="4"/>
      </w:pPr>
      <w:r>
        <w:t>6.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3  生物防治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在桑葚园周边或行间种植</w:t>
      </w:r>
      <w:r>
        <w:rPr>
          <w:rFonts w:ascii="宋体" w:hAnsi="宋体" w:cs="宋体"/>
        </w:rPr>
        <w:t>三叶草、紫云英、波斯菊等植物，不仅可作为天敌昆虫的蜜源和栖息场所，还能改善田间小气候，减少病虫害发生</w:t>
      </w:r>
      <w:r>
        <w:rPr>
          <w:rFonts w:ascii="宋体" w:hAnsi="宋体" w:cs="宋体" w:hint="eastAsia"/>
        </w:rPr>
        <w:t>。调节桑园生态环境，建立生态屏障隔离有害生物，保护天敌生物生存条件。人工繁育并释放害虫的病原性天敌、捕食性天敌或寄生性天敌，提倡以螨治螨、以虫治虫或者以菌治虫，如释放瓢虫、赤眼蜂、捕食螨等天敌昆虫。</w:t>
      </w:r>
    </w:p>
    <w:p w:rsidR="005F4F2A" w:rsidRDefault="00533984" w:rsidP="004C06BA">
      <w:pPr>
        <w:pStyle w:val="4"/>
      </w:pPr>
      <w:r>
        <w:rPr>
          <w:rFonts w:hint="eastAsia"/>
        </w:rPr>
        <w:lastRenderedPageBreak/>
        <w:t>6.4.3.4  化学防治</w:t>
      </w:r>
    </w:p>
    <w:p w:rsidR="005F4F2A" w:rsidRDefault="00533984" w:rsidP="004C06BA">
      <w:pPr>
        <w:pStyle w:val="a7"/>
        <w:adjustRightInd w:val="0"/>
        <w:snapToGrid w:val="0"/>
        <w:spacing w:line="360" w:lineRule="auto"/>
        <w:ind w:firstLineChars="200"/>
        <w:rPr>
          <w:rFonts w:ascii="黑体" w:eastAsia="黑体" w:hAnsi="黑体" w:cs="黑体"/>
        </w:rPr>
      </w:pPr>
      <w:r>
        <w:rPr>
          <w:rFonts w:hAnsi="宋体" w:hint="eastAsia"/>
        </w:rPr>
        <w:t>严格按照NY/T 393的规定执行。加强病虫害的预测预报，应做到对症下药，适时用药，注重药剂的轮换使用和合理混用。按照规定的浓度、每年的使用次数和安全间隔期要求使用。对化学农药的使用情况进行严格、准确的记录。</w:t>
      </w:r>
      <w:r w:rsidR="00450027">
        <w:rPr>
          <w:rFonts w:hAnsi="宋体" w:hint="eastAsia"/>
        </w:rPr>
        <w:t>绿色食品桑葚</w:t>
      </w:r>
      <w:r w:rsidR="00450027">
        <w:rPr>
          <w:rFonts w:hAnsi="宋体"/>
        </w:rPr>
        <w:t>生产</w:t>
      </w:r>
      <w:r>
        <w:rPr>
          <w:rFonts w:hAnsi="宋体" w:hint="eastAsia"/>
        </w:rPr>
        <w:t>主要病虫害</w:t>
      </w:r>
      <w:r w:rsidR="00450027">
        <w:rPr>
          <w:rFonts w:hAnsi="宋体" w:hint="eastAsia"/>
        </w:rPr>
        <w:t>防治推荐农药使用</w:t>
      </w:r>
      <w:r>
        <w:rPr>
          <w:rFonts w:hAnsi="宋体" w:hint="eastAsia"/>
        </w:rPr>
        <w:t>方案见附录A</w:t>
      </w:r>
      <w:r w:rsidR="00450027">
        <w:rPr>
          <w:rFonts w:hAnsi="宋体" w:hint="eastAsia"/>
        </w:rPr>
        <w:t>。</w:t>
      </w:r>
    </w:p>
    <w:p w:rsidR="005F4F2A" w:rsidRDefault="00533984" w:rsidP="004C06BA">
      <w:pPr>
        <w:pStyle w:val="1"/>
      </w:pPr>
      <w:r>
        <w:t xml:space="preserve">7 </w:t>
      </w:r>
      <w:r>
        <w:rPr>
          <w:rFonts w:hint="eastAsia"/>
        </w:rPr>
        <w:t>采收</w:t>
      </w:r>
    </w:p>
    <w:p w:rsidR="005F4F2A" w:rsidRDefault="00533984" w:rsidP="004C06BA">
      <w:pPr>
        <w:pStyle w:val="20"/>
      </w:pPr>
      <w:r>
        <w:rPr>
          <w:rFonts w:hint="eastAsia"/>
        </w:rPr>
        <w:t>7.1 采收标准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成熟桑葚果粒膨胀，果实接近其成熟的固有色泽，果穗紧凑但不软烂，果粒间无明显空隙，用手指轻捏，</w:t>
      </w:r>
      <w:r>
        <w:rPr>
          <w:rFonts w:ascii="宋体" w:hAnsi="宋体" w:cs="宋体"/>
        </w:rPr>
        <w:t>果蒂处与枝条连接较松，轻掰即可</w:t>
      </w:r>
      <w:r>
        <w:rPr>
          <w:rFonts w:ascii="宋体" w:hAnsi="宋体" w:cs="宋体" w:hint="eastAsia"/>
        </w:rPr>
        <w:t>。</w:t>
      </w:r>
    </w:p>
    <w:p w:rsidR="005F4F2A" w:rsidRDefault="00533984" w:rsidP="004C06BA">
      <w:pPr>
        <w:pStyle w:val="20"/>
      </w:pPr>
      <w:r>
        <w:t>7.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</w:rPr>
        <w:t>采收方法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采收时由外到内，依次进行，用小竹篮等容器盛放。用手指轻捏</w:t>
      </w:r>
      <w:r>
        <w:rPr>
          <w:rFonts w:ascii="宋体" w:hAnsi="宋体" w:cs="宋体"/>
        </w:rPr>
        <w:t>果蒂处与枝条连接</w:t>
      </w:r>
      <w:r>
        <w:rPr>
          <w:rFonts w:ascii="宋体" w:hAnsi="宋体" w:cs="宋体" w:hint="eastAsia"/>
        </w:rPr>
        <w:t>处</w:t>
      </w:r>
      <w:r>
        <w:rPr>
          <w:rFonts w:ascii="宋体" w:hAnsi="宋体" w:cs="宋体"/>
        </w:rPr>
        <w:t>，轻掰即可脱落</w:t>
      </w:r>
      <w:r>
        <w:rPr>
          <w:rFonts w:ascii="宋体" w:hAnsi="宋体" w:cs="宋体" w:hint="eastAsia"/>
        </w:rPr>
        <w:t>，轻拿轻放，不要伤果，落地果、粘花果、病虫果、过熟霉变果，必须另外放置，枯枝杂物不要混在果中。采下果实不要随地堆放，不可日晒雨淋。</w:t>
      </w:r>
    </w:p>
    <w:p w:rsidR="005F4F2A" w:rsidRDefault="00533984" w:rsidP="004C06BA">
      <w:pPr>
        <w:pStyle w:val="1"/>
      </w:pPr>
      <w:r>
        <w:t xml:space="preserve">8 </w:t>
      </w:r>
      <w:r>
        <w:rPr>
          <w:rFonts w:hint="eastAsia"/>
        </w:rPr>
        <w:t>包装、储藏与运输</w:t>
      </w:r>
    </w:p>
    <w:p w:rsidR="005F4F2A" w:rsidRDefault="00533984" w:rsidP="004C06BA">
      <w:pPr>
        <w:pStyle w:val="20"/>
      </w:pPr>
      <w:r>
        <w:rPr>
          <w:rFonts w:hint="eastAsia"/>
        </w:rPr>
        <w:t>8.1包装的选择</w:t>
      </w:r>
    </w:p>
    <w:p w:rsidR="005F4F2A" w:rsidRDefault="00533984" w:rsidP="004C06BA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包装应符合NY/T 658的规定，应选择适当的包装材料、形式和方法。包装材料一般应用木箱、瓦纸箱钙塑箱或泡沫塑料箱。包装容器中所存放量以桑葚不挤压为准。确保包装材料符合绿色食品标准且实用。</w:t>
      </w:r>
    </w:p>
    <w:p w:rsidR="005F4F2A" w:rsidRDefault="00533984" w:rsidP="004C06BA">
      <w:pPr>
        <w:pStyle w:val="20"/>
      </w:pPr>
      <w:r>
        <w:rPr>
          <w:rFonts w:hint="eastAsia"/>
        </w:rPr>
        <w:t>8.2包装前预处理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桑葚采收后需在6h内完成挑选（剔除破损、霉变、过熟的果实），避免病果污染健康果实；挑选后立即进行预冷（采用强制冷风预冷，6h内将果温降至 0～1℃），预冷后的桑葚需在 0～1℃环境下静置 1～2h，待果温稳定后再装箱，避免温差导致包装内结露。</w:t>
      </w:r>
      <w:r w:rsidR="00EF3C23">
        <w:rPr>
          <w:rFonts w:ascii="宋体" w:hAnsi="宋体" w:cs="宋体" w:hint="eastAsia"/>
          <w:color w:val="000000"/>
        </w:rPr>
        <w:t>储藏应</w:t>
      </w:r>
      <w:r w:rsidR="00EF3C23">
        <w:rPr>
          <w:rFonts w:ascii="宋体" w:hAnsi="宋体" w:cs="宋体"/>
          <w:color w:val="000000"/>
        </w:rPr>
        <w:t xml:space="preserve">符合NY/T </w:t>
      </w:r>
      <w:r w:rsidR="00EF3C23">
        <w:rPr>
          <w:rFonts w:ascii="宋体" w:hAnsi="宋体" w:cs="宋体" w:hint="eastAsia"/>
          <w:color w:val="000000"/>
        </w:rPr>
        <w:t>1056的规定</w:t>
      </w:r>
      <w:r w:rsidR="00EF3C23">
        <w:rPr>
          <w:rFonts w:ascii="宋体" w:hAnsi="宋体" w:cs="宋体"/>
          <w:color w:val="000000"/>
        </w:rPr>
        <w:t>。</w:t>
      </w:r>
    </w:p>
    <w:p w:rsidR="005F4F2A" w:rsidRDefault="00533984" w:rsidP="004C06BA">
      <w:pPr>
        <w:pStyle w:val="20"/>
      </w:pPr>
      <w:r>
        <w:rPr>
          <w:rFonts w:hint="eastAsia"/>
        </w:rPr>
        <w:t>8.3运输选择</w:t>
      </w:r>
    </w:p>
    <w:p w:rsidR="00EF3C23" w:rsidRPr="00C74785" w:rsidRDefault="00EF3C23" w:rsidP="00C74785">
      <w:pPr>
        <w:adjustRightInd w:val="0"/>
        <w:snapToGrid w:val="0"/>
        <w:spacing w:line="360" w:lineRule="auto"/>
        <w:ind w:firstLineChars="200" w:firstLine="420"/>
      </w:pPr>
      <w:r>
        <w:rPr>
          <w:rFonts w:ascii="宋体" w:hAnsi="宋体" w:cs="宋体" w:hint="eastAsia"/>
          <w:color w:val="000000"/>
        </w:rPr>
        <w:t>运输应</w:t>
      </w:r>
      <w:r>
        <w:rPr>
          <w:rFonts w:ascii="宋体" w:hAnsi="宋体" w:cs="宋体"/>
          <w:color w:val="000000"/>
        </w:rPr>
        <w:t xml:space="preserve">符合NY/T </w:t>
      </w:r>
      <w:r>
        <w:rPr>
          <w:rFonts w:ascii="宋体" w:hAnsi="宋体" w:cs="宋体" w:hint="eastAsia"/>
          <w:color w:val="000000"/>
        </w:rPr>
        <w:t>1056的规定</w:t>
      </w:r>
      <w:r>
        <w:rPr>
          <w:rFonts w:ascii="宋体" w:hAnsi="宋体" w:cs="宋体"/>
          <w:color w:val="000000"/>
        </w:rPr>
        <w:t>。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短途运输：车厢温度控制在 0～4℃，运输时间不超过6h；若气温低于25℃，也可使用带篷卡车，但需在车厢内放置冰袋，并铺垫保温棉，避免阳光直射。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中长途运输：车厢需提前 1 小时预冷至 0～2℃，装载时避免野蛮装卸，桑葚包装箱在车厢内分层摆放，层间留通风间隙，禁止堆叠过高。</w:t>
      </w:r>
    </w:p>
    <w:p w:rsidR="005F4F2A" w:rsidRDefault="00533984" w:rsidP="004C06BA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长途运输：除冷藏车外，需在包装箱内额外放置 “蓄冷冰板”，并使用保温箱包裹，减少温度流失；运输时间建议不超过24h，全程监控车厢温度，避免中途停机导致温度升高。</w:t>
      </w:r>
    </w:p>
    <w:p w:rsidR="005F4F2A" w:rsidRDefault="00533984" w:rsidP="004C06BA">
      <w:pPr>
        <w:pStyle w:val="1"/>
      </w:pPr>
      <w:r>
        <w:lastRenderedPageBreak/>
        <w:t xml:space="preserve">9 </w:t>
      </w:r>
      <w:r>
        <w:rPr>
          <w:rFonts w:hint="eastAsia"/>
        </w:rPr>
        <w:t>生产废弃物处理</w:t>
      </w:r>
    </w:p>
    <w:p w:rsidR="005F4F2A" w:rsidRDefault="00533984" w:rsidP="004C06BA">
      <w:pPr>
        <w:pStyle w:val="ab"/>
        <w:adjustRightInd w:val="0"/>
        <w:snapToGrid w:val="0"/>
        <w:spacing w:line="360" w:lineRule="auto"/>
      </w:pPr>
      <w:r>
        <w:rPr>
          <w:rFonts w:hint="eastAsia"/>
        </w:rPr>
        <w:t>桑葚园中的落叶和修剪下的枝条，带出园外进行无害化处理。修剪下的枝条，经腐熟发酵后，作为有机肥还田。废弃的地膜、棚膜和农药包装袋等应收集好进行集中处理，减少环境污染。</w:t>
      </w:r>
    </w:p>
    <w:p w:rsidR="005F4F2A" w:rsidRDefault="00533984" w:rsidP="004C06BA">
      <w:pPr>
        <w:pStyle w:val="1"/>
      </w:pPr>
      <w:r>
        <w:t xml:space="preserve">10 </w:t>
      </w:r>
      <w:r w:rsidR="00E95382">
        <w:rPr>
          <w:rFonts w:hint="eastAsia"/>
        </w:rPr>
        <w:t>生产</w:t>
      </w:r>
      <w:r>
        <w:rPr>
          <w:rFonts w:hint="eastAsia"/>
        </w:rPr>
        <w:t>档案</w:t>
      </w:r>
      <w:r w:rsidR="00E95382">
        <w:rPr>
          <w:rFonts w:hint="eastAsia"/>
        </w:rPr>
        <w:t>管理</w:t>
      </w:r>
    </w:p>
    <w:p w:rsidR="001F21D5" w:rsidRDefault="00533984" w:rsidP="003E273D">
      <w:pPr>
        <w:pStyle w:val="10"/>
        <w:adjustRightInd w:val="0"/>
        <w:snapToGrid w:val="0"/>
        <w:spacing w:line="360" w:lineRule="auto"/>
        <w:rPr>
          <w:rFonts w:ascii="宋体" w:hAnsi="宋体" w:cs="宋体"/>
        </w:rPr>
        <w:sectPr w:rsidR="001F21D5" w:rsidSect="003E273D">
          <w:footerReference w:type="even" r:id="rId12"/>
          <w:footerReference w:type="default" r:id="rId13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宋体" w:hAnsi="宋体" w:cs="宋体" w:hint="eastAsia"/>
        </w:rPr>
        <w:t>建立完善的农事活动、生产技术档案，记载生产过程中如农药、肥料的使用情况及其它栽培管理措施等，档案记录表格应包含日期、农事活动、使用物资名称及用量、操作人员、备注等栏目，保存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年以上。</w:t>
      </w:r>
    </w:p>
    <w:p w:rsidR="004C06BA" w:rsidRDefault="004C06BA" w:rsidP="004C06BA">
      <w:pPr>
        <w:pStyle w:val="1"/>
        <w:jc w:val="center"/>
      </w:pPr>
      <w:r>
        <w:rPr>
          <w:rFonts w:hint="eastAsia"/>
        </w:rPr>
        <w:lastRenderedPageBreak/>
        <w:t>附录A</w:t>
      </w:r>
    </w:p>
    <w:p w:rsidR="004C06BA" w:rsidRPr="004C06BA" w:rsidRDefault="004C06BA" w:rsidP="004C06BA">
      <w:pPr>
        <w:pStyle w:val="2"/>
        <w:adjustRightInd w:val="0"/>
        <w:snapToGrid w:val="0"/>
        <w:spacing w:after="0" w:line="360" w:lineRule="auto"/>
        <w:ind w:leftChars="0" w:left="0" w:firstLineChars="0" w:firstLine="0"/>
        <w:jc w:val="center"/>
        <w:rPr>
          <w:rFonts w:eastAsia="黑体"/>
        </w:rPr>
      </w:pPr>
      <w:r w:rsidRPr="004C06BA">
        <w:rPr>
          <w:rFonts w:eastAsia="黑体" w:hint="eastAsia"/>
        </w:rPr>
        <w:t>（资料性附录）</w:t>
      </w:r>
    </w:p>
    <w:p w:rsidR="004C06BA" w:rsidRDefault="004C06BA" w:rsidP="004C06BA">
      <w:pPr>
        <w:pStyle w:val="2"/>
        <w:adjustRightInd w:val="0"/>
        <w:snapToGrid w:val="0"/>
        <w:spacing w:after="0" w:line="360" w:lineRule="auto"/>
        <w:ind w:leftChars="0" w:left="0" w:firstLineChars="0" w:firstLine="0"/>
        <w:jc w:val="center"/>
        <w:rPr>
          <w:rFonts w:eastAsia="黑体"/>
        </w:rPr>
      </w:pPr>
      <w:r w:rsidRPr="004C06BA">
        <w:rPr>
          <w:rFonts w:eastAsia="黑体" w:hint="eastAsia"/>
        </w:rPr>
        <w:t>绿色食品桑葚</w:t>
      </w:r>
      <w:r w:rsidR="00617683" w:rsidRPr="00617683">
        <w:rPr>
          <w:rFonts w:eastAsia="黑体" w:hint="eastAsia"/>
        </w:rPr>
        <w:t>生产主要病虫害防治</w:t>
      </w:r>
      <w:r w:rsidRPr="004C06BA">
        <w:rPr>
          <w:rFonts w:eastAsia="黑体" w:hint="eastAsia"/>
        </w:rPr>
        <w:t>推荐农药使用方案</w:t>
      </w:r>
    </w:p>
    <w:p w:rsidR="00617683" w:rsidRDefault="00617683" w:rsidP="00C74785"/>
    <w:p w:rsidR="00617683" w:rsidRDefault="00617683" w:rsidP="00C74785">
      <w:pPr>
        <w:pStyle w:val="2"/>
        <w:adjustRightInd w:val="0"/>
        <w:snapToGrid w:val="0"/>
        <w:spacing w:after="0"/>
        <w:ind w:leftChars="0" w:left="0" w:firstLine="400"/>
      </w:pPr>
      <w:r>
        <w:rPr>
          <w:rFonts w:hint="eastAsia"/>
        </w:rPr>
        <w:t>绿色食品桑葚生产</w:t>
      </w:r>
      <w:r w:rsidRPr="00251279">
        <w:t>主要病虫害</w:t>
      </w:r>
      <w:r>
        <w:rPr>
          <w:rFonts w:hint="eastAsia"/>
        </w:rPr>
        <w:t>防治推荐农药</w:t>
      </w:r>
      <w:r>
        <w:t>使用方案</w:t>
      </w:r>
      <w:r w:rsidRPr="00251279">
        <w:t>见附录</w:t>
      </w:r>
      <w:r w:rsidRPr="00251279">
        <w:t>A</w:t>
      </w:r>
      <w:r>
        <w:t>.1</w:t>
      </w:r>
      <w:r w:rsidRPr="00251279">
        <w:t>。</w:t>
      </w:r>
    </w:p>
    <w:p w:rsidR="003E273D" w:rsidRPr="003E273D" w:rsidRDefault="003E273D" w:rsidP="003E273D"/>
    <w:p w:rsidR="00617683" w:rsidRPr="00C74785" w:rsidRDefault="00617683" w:rsidP="00C74785">
      <w:pPr>
        <w:jc w:val="center"/>
      </w:pPr>
      <w:r>
        <w:rPr>
          <w:rFonts w:eastAsia="黑体" w:hint="eastAsia"/>
        </w:rPr>
        <w:t>表</w:t>
      </w:r>
      <w:r>
        <w:rPr>
          <w:rFonts w:eastAsia="黑体" w:hint="eastAsia"/>
        </w:rPr>
        <w:t xml:space="preserve">A.1 </w:t>
      </w:r>
      <w:r w:rsidRPr="004C06BA">
        <w:rPr>
          <w:rFonts w:eastAsia="黑体" w:hint="eastAsia"/>
        </w:rPr>
        <w:t>绿色食品桑葚</w:t>
      </w:r>
      <w:r w:rsidRPr="00617683">
        <w:rPr>
          <w:rFonts w:eastAsia="黑体" w:hint="eastAsia"/>
        </w:rPr>
        <w:t>生产主要病虫害防治</w:t>
      </w:r>
      <w:r w:rsidRPr="004C06BA">
        <w:rPr>
          <w:rFonts w:eastAsia="黑体" w:hint="eastAsia"/>
        </w:rPr>
        <w:t>推荐农药使用方案</w:t>
      </w:r>
    </w:p>
    <w:tbl>
      <w:tblPr>
        <w:tblW w:w="8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1550"/>
        <w:gridCol w:w="2286"/>
        <w:gridCol w:w="1687"/>
        <w:gridCol w:w="993"/>
        <w:gridCol w:w="1134"/>
      </w:tblGrid>
      <w:tr w:rsidR="005F4F2A" w:rsidTr="004C06BA">
        <w:trPr>
          <w:trHeight w:val="454"/>
          <w:jc w:val="center"/>
        </w:trPr>
        <w:tc>
          <w:tcPr>
            <w:tcW w:w="1185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防治对象</w:t>
            </w:r>
          </w:p>
        </w:tc>
        <w:tc>
          <w:tcPr>
            <w:tcW w:w="1550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防治时期</w:t>
            </w:r>
          </w:p>
        </w:tc>
        <w:tc>
          <w:tcPr>
            <w:tcW w:w="2286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农药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1687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使用剂量</w:t>
            </w:r>
          </w:p>
        </w:tc>
        <w:tc>
          <w:tcPr>
            <w:tcW w:w="993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施药方法</w:t>
            </w:r>
          </w:p>
        </w:tc>
        <w:tc>
          <w:tcPr>
            <w:tcW w:w="1134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安全间隔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期</w:t>
            </w:r>
          </w:p>
          <w:p w:rsidR="005F4F2A" w:rsidRDefault="00A53FA8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（</w:t>
            </w:r>
            <w:r w:rsidR="00533984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天数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5F4F2A" w:rsidTr="004C06BA">
        <w:trPr>
          <w:trHeight w:val="454"/>
          <w:jc w:val="center"/>
        </w:trPr>
        <w:tc>
          <w:tcPr>
            <w:tcW w:w="1185" w:type="dxa"/>
            <w:vMerge w:val="restart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菌核病</w:t>
            </w:r>
          </w:p>
        </w:tc>
        <w:tc>
          <w:tcPr>
            <w:tcW w:w="1550" w:type="dxa"/>
            <w:vMerge w:val="restart"/>
            <w:vAlign w:val="center"/>
          </w:tcPr>
          <w:p w:rsidR="005F4F2A" w:rsidRDefault="00533984">
            <w:pPr>
              <w:widowControl/>
              <w:adjustRightInd w:val="0"/>
              <w:snapToGrid w:val="0"/>
              <w:ind w:leftChars="-53" w:left="-111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桑树初花期</w:t>
            </w:r>
          </w:p>
        </w:tc>
        <w:tc>
          <w:tcPr>
            <w:tcW w:w="2286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50%</w:t>
            </w:r>
            <w:bookmarkStart w:id="1" w:name="OLE_LINK1"/>
            <w:bookmarkStart w:id="2" w:name="OLE_LINK2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啶酰菌胺</w:t>
            </w:r>
            <w:bookmarkEnd w:id="1"/>
            <w:bookmarkEnd w:id="2"/>
            <w:r>
              <w:rPr>
                <w:rFonts w:ascii="Helvetica" w:eastAsia="Helvetica" w:hAnsi="Helvetica" w:cs="Helvetica" w:hint="eastAsia"/>
                <w:color w:val="333333"/>
                <w:sz w:val="18"/>
                <w:szCs w:val="18"/>
                <w:shd w:val="clear" w:color="auto" w:fill="FFFFFF"/>
              </w:rPr>
              <w:t>水分散粒剂</w:t>
            </w:r>
          </w:p>
        </w:tc>
        <w:tc>
          <w:tcPr>
            <w:tcW w:w="1687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600-1000倍液</w:t>
            </w:r>
          </w:p>
        </w:tc>
        <w:tc>
          <w:tcPr>
            <w:tcW w:w="993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喷雾</w:t>
            </w:r>
          </w:p>
        </w:tc>
        <w:tc>
          <w:tcPr>
            <w:tcW w:w="1134" w:type="dxa"/>
            <w:vAlign w:val="center"/>
          </w:tcPr>
          <w:p w:rsidR="005F4F2A" w:rsidRDefault="00D8796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</w:tr>
      <w:tr w:rsidR="005F4F2A" w:rsidTr="004C06BA">
        <w:trPr>
          <w:trHeight w:val="454"/>
          <w:jc w:val="center"/>
        </w:trPr>
        <w:tc>
          <w:tcPr>
            <w:tcW w:w="1185" w:type="dxa"/>
            <w:vMerge/>
            <w:vAlign w:val="center"/>
          </w:tcPr>
          <w:p w:rsidR="005F4F2A" w:rsidRDefault="005F4F2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0" w:type="dxa"/>
            <w:vMerge/>
            <w:vAlign w:val="center"/>
          </w:tcPr>
          <w:p w:rsidR="005F4F2A" w:rsidRDefault="005F4F2A">
            <w:pPr>
              <w:widowControl/>
              <w:adjustRightInd w:val="0"/>
              <w:snapToGrid w:val="0"/>
              <w:ind w:leftChars="-53" w:left="-111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86" w:type="dxa"/>
            <w:vAlign w:val="center"/>
          </w:tcPr>
          <w:p w:rsidR="005F4F2A" w:rsidRDefault="00D8796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3" w:name="OLE_LINK3"/>
            <w:bookmarkStart w:id="4" w:name="OLE_LINK4"/>
            <w:r w:rsidRPr="00D87964">
              <w:rPr>
                <w:rFonts w:ascii="宋体" w:hAnsi="宋体" w:cs="宋体"/>
                <w:kern w:val="0"/>
                <w:sz w:val="18"/>
                <w:szCs w:val="18"/>
              </w:rPr>
              <w:t>27%</w:t>
            </w:r>
            <w:r w:rsidR="00533984">
              <w:rPr>
                <w:rFonts w:ascii="宋体" w:hAnsi="宋体" w:cs="宋体" w:hint="eastAsia"/>
                <w:kern w:val="0"/>
                <w:sz w:val="18"/>
                <w:szCs w:val="18"/>
              </w:rPr>
              <w:t>啶酰·嘧菌酯</w:t>
            </w:r>
            <w:bookmarkEnd w:id="3"/>
            <w:bookmarkEnd w:id="4"/>
            <w:r w:rsidR="00533984">
              <w:rPr>
                <w:rFonts w:ascii="宋体" w:hAnsi="宋体" w:cs="宋体" w:hint="eastAsia"/>
                <w:kern w:val="0"/>
                <w:sz w:val="18"/>
                <w:szCs w:val="18"/>
              </w:rPr>
              <w:t>悬浮剂</w:t>
            </w:r>
          </w:p>
        </w:tc>
        <w:tc>
          <w:tcPr>
            <w:tcW w:w="1687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74785">
              <w:rPr>
                <w:rFonts w:ascii="宋体" w:hAnsi="宋体" w:cs="宋体"/>
                <w:kern w:val="0"/>
                <w:sz w:val="18"/>
                <w:szCs w:val="18"/>
              </w:rPr>
              <w:t>1000-2000倍液</w:t>
            </w:r>
          </w:p>
        </w:tc>
        <w:tc>
          <w:tcPr>
            <w:tcW w:w="993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喷雾</w:t>
            </w:r>
          </w:p>
        </w:tc>
        <w:tc>
          <w:tcPr>
            <w:tcW w:w="1134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</w:t>
            </w:r>
          </w:p>
        </w:tc>
      </w:tr>
      <w:tr w:rsidR="005F4F2A" w:rsidTr="004C06BA">
        <w:trPr>
          <w:trHeight w:val="458"/>
          <w:jc w:val="center"/>
        </w:trPr>
        <w:tc>
          <w:tcPr>
            <w:tcW w:w="1185" w:type="dxa"/>
            <w:vMerge w:val="restart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桑里白粉病</w:t>
            </w:r>
          </w:p>
        </w:tc>
        <w:tc>
          <w:tcPr>
            <w:tcW w:w="1550" w:type="dxa"/>
            <w:vMerge w:val="restart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病菌侵染初期</w:t>
            </w:r>
          </w:p>
        </w:tc>
        <w:tc>
          <w:tcPr>
            <w:tcW w:w="2286" w:type="dxa"/>
            <w:vAlign w:val="center"/>
          </w:tcPr>
          <w:p w:rsidR="005F4F2A" w:rsidRPr="004C06B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4C06BA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50%</w:t>
            </w:r>
            <w:bookmarkStart w:id="5" w:name="OLE_LINK5"/>
            <w:bookmarkStart w:id="6" w:name="OLE_LINK6"/>
            <w:r w:rsidRPr="004C06BA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硫磺</w:t>
            </w:r>
            <w:bookmarkEnd w:id="5"/>
            <w:bookmarkEnd w:id="6"/>
            <w:r w:rsidRPr="004C06BA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悬浮剂</w:t>
            </w:r>
          </w:p>
        </w:tc>
        <w:tc>
          <w:tcPr>
            <w:tcW w:w="1687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200-400倍液</w:t>
            </w:r>
          </w:p>
        </w:tc>
        <w:tc>
          <w:tcPr>
            <w:tcW w:w="993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喷雾</w:t>
            </w:r>
          </w:p>
        </w:tc>
        <w:tc>
          <w:tcPr>
            <w:tcW w:w="1134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</w:tr>
      <w:tr w:rsidR="005F4F2A" w:rsidTr="004C06BA">
        <w:trPr>
          <w:trHeight w:val="458"/>
          <w:jc w:val="center"/>
        </w:trPr>
        <w:tc>
          <w:tcPr>
            <w:tcW w:w="1185" w:type="dxa"/>
            <w:vMerge/>
            <w:vAlign w:val="center"/>
          </w:tcPr>
          <w:p w:rsidR="005F4F2A" w:rsidRDefault="005F4F2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0" w:type="dxa"/>
            <w:vMerge/>
            <w:vAlign w:val="center"/>
          </w:tcPr>
          <w:p w:rsidR="005F4F2A" w:rsidRDefault="005F4F2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86" w:type="dxa"/>
            <w:vAlign w:val="center"/>
          </w:tcPr>
          <w:p w:rsidR="005F4F2A" w:rsidRPr="004C06B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4C06BA">
              <w:rPr>
                <w:rFonts w:ascii="宋体" w:hAnsi="宋体" w:cs="Helvetica" w:hint="eastAsia"/>
                <w:color w:val="000000" w:themeColor="text1"/>
                <w:sz w:val="18"/>
                <w:szCs w:val="18"/>
                <w:shd w:val="clear" w:color="auto" w:fill="FFFFFF"/>
              </w:rPr>
              <w:t>36%</w:t>
            </w:r>
            <w:bookmarkStart w:id="7" w:name="OLE_LINK7"/>
            <w:bookmarkStart w:id="8" w:name="OLE_LINK8"/>
            <w:r w:rsidRPr="004C06BA">
              <w:rPr>
                <w:rFonts w:ascii="宋体" w:hAnsi="宋体" w:cs="Helvetica" w:hint="eastAsia"/>
                <w:color w:val="000000" w:themeColor="text1"/>
                <w:sz w:val="18"/>
                <w:szCs w:val="18"/>
                <w:shd w:val="clear" w:color="auto" w:fill="FFFFFF"/>
              </w:rPr>
              <w:t>甲基硫菌灵</w:t>
            </w:r>
            <w:bookmarkEnd w:id="7"/>
            <w:bookmarkEnd w:id="8"/>
            <w:r w:rsidRPr="004C06BA">
              <w:rPr>
                <w:rFonts w:ascii="宋体" w:hAnsi="宋体" w:cs="Helvetica" w:hint="eastAsia"/>
                <w:color w:val="000000" w:themeColor="text1"/>
                <w:sz w:val="18"/>
                <w:szCs w:val="18"/>
                <w:shd w:val="clear" w:color="auto" w:fill="FFFFFF"/>
              </w:rPr>
              <w:t>悬浮剂</w:t>
            </w:r>
          </w:p>
        </w:tc>
        <w:tc>
          <w:tcPr>
            <w:tcW w:w="1687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800-1000倍液</w:t>
            </w:r>
          </w:p>
        </w:tc>
        <w:tc>
          <w:tcPr>
            <w:tcW w:w="993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喷雾</w:t>
            </w:r>
          </w:p>
        </w:tc>
        <w:tc>
          <w:tcPr>
            <w:tcW w:w="1134" w:type="dxa"/>
            <w:vAlign w:val="center"/>
          </w:tcPr>
          <w:p w:rsidR="005F4F2A" w:rsidRDefault="00D8796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</w:tr>
      <w:tr w:rsidR="005F4F2A" w:rsidTr="004C06BA">
        <w:trPr>
          <w:trHeight w:val="454"/>
          <w:jc w:val="center"/>
        </w:trPr>
        <w:tc>
          <w:tcPr>
            <w:tcW w:w="1185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多种害虫</w:t>
            </w:r>
          </w:p>
        </w:tc>
        <w:tc>
          <w:tcPr>
            <w:tcW w:w="1550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kern w:val="0"/>
                <w:sz w:val="18"/>
                <w:szCs w:val="18"/>
              </w:rPr>
              <w:t>发生初期</w:t>
            </w:r>
          </w:p>
        </w:tc>
        <w:tc>
          <w:tcPr>
            <w:tcW w:w="2286" w:type="dxa"/>
            <w:vAlign w:val="center"/>
          </w:tcPr>
          <w:p w:rsidR="005F4F2A" w:rsidRPr="004C06B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4C06BA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18%</w:t>
            </w:r>
            <w:bookmarkStart w:id="9" w:name="OLE_LINK9"/>
            <w:bookmarkStart w:id="10" w:name="OLE_LINK10"/>
            <w:r w:rsidRPr="004C06BA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杀虫双</w:t>
            </w:r>
            <w:bookmarkEnd w:id="9"/>
            <w:bookmarkEnd w:id="10"/>
            <w:r w:rsidRPr="004C06BA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水剂</w:t>
            </w:r>
          </w:p>
        </w:tc>
        <w:tc>
          <w:tcPr>
            <w:tcW w:w="1687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500-800倍液</w:t>
            </w:r>
          </w:p>
        </w:tc>
        <w:tc>
          <w:tcPr>
            <w:tcW w:w="993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喷雾</w:t>
            </w:r>
          </w:p>
        </w:tc>
        <w:tc>
          <w:tcPr>
            <w:tcW w:w="1134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</w:tr>
      <w:tr w:rsidR="005F4F2A" w:rsidTr="004C06BA">
        <w:trPr>
          <w:trHeight w:val="454"/>
          <w:jc w:val="center"/>
        </w:trPr>
        <w:tc>
          <w:tcPr>
            <w:tcW w:w="1185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蚜虫</w:t>
            </w:r>
          </w:p>
        </w:tc>
        <w:tc>
          <w:tcPr>
            <w:tcW w:w="1550" w:type="dxa"/>
            <w:vMerge w:val="restart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发生初期</w:t>
            </w:r>
          </w:p>
        </w:tc>
        <w:tc>
          <w:tcPr>
            <w:tcW w:w="2286" w:type="dxa"/>
            <w:vMerge w:val="restart"/>
            <w:vAlign w:val="center"/>
          </w:tcPr>
          <w:p w:rsidR="005F4F2A" w:rsidRPr="004C06B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</w:rPr>
            </w:pPr>
            <w:r w:rsidRPr="004C06BA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40%</w:t>
            </w:r>
            <w:bookmarkStart w:id="11" w:name="OLE_LINK11"/>
            <w:bookmarkStart w:id="12" w:name="OLE_LINK12"/>
            <w:r w:rsidRPr="004C06BA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辛硫磷</w:t>
            </w:r>
            <w:bookmarkEnd w:id="11"/>
            <w:bookmarkEnd w:id="12"/>
            <w:r w:rsidRPr="004C06BA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乳油</w:t>
            </w:r>
          </w:p>
        </w:tc>
        <w:tc>
          <w:tcPr>
            <w:tcW w:w="1687" w:type="dxa"/>
            <w:vMerge w:val="restart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1000-2000倍液</w:t>
            </w:r>
          </w:p>
        </w:tc>
        <w:tc>
          <w:tcPr>
            <w:tcW w:w="993" w:type="dxa"/>
            <w:vMerge w:val="restart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喷雾</w:t>
            </w:r>
          </w:p>
        </w:tc>
        <w:tc>
          <w:tcPr>
            <w:tcW w:w="1134" w:type="dxa"/>
            <w:vMerge w:val="restart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</w:tr>
      <w:tr w:rsidR="005F4F2A" w:rsidTr="004C06BA">
        <w:trPr>
          <w:trHeight w:val="454"/>
          <w:jc w:val="center"/>
        </w:trPr>
        <w:tc>
          <w:tcPr>
            <w:tcW w:w="1185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食心虫</w:t>
            </w:r>
          </w:p>
        </w:tc>
        <w:tc>
          <w:tcPr>
            <w:tcW w:w="1550" w:type="dxa"/>
            <w:vMerge/>
            <w:vAlign w:val="center"/>
          </w:tcPr>
          <w:p w:rsidR="005F4F2A" w:rsidRDefault="005F4F2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86" w:type="dxa"/>
            <w:vMerge/>
            <w:vAlign w:val="center"/>
          </w:tcPr>
          <w:p w:rsidR="005F4F2A" w:rsidRDefault="005F4F2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87" w:type="dxa"/>
            <w:vMerge/>
            <w:vAlign w:val="center"/>
          </w:tcPr>
          <w:p w:rsidR="005F4F2A" w:rsidRDefault="005F4F2A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5F4F2A" w:rsidRDefault="005F4F2A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F4F2A" w:rsidRDefault="005F4F2A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5F4F2A" w:rsidTr="004C06BA">
        <w:trPr>
          <w:trHeight w:val="454"/>
          <w:jc w:val="center"/>
        </w:trPr>
        <w:tc>
          <w:tcPr>
            <w:tcW w:w="1185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食叶害虫</w:t>
            </w:r>
          </w:p>
        </w:tc>
        <w:tc>
          <w:tcPr>
            <w:tcW w:w="1550" w:type="dxa"/>
            <w:vMerge/>
            <w:vAlign w:val="center"/>
          </w:tcPr>
          <w:p w:rsidR="005F4F2A" w:rsidRDefault="005F4F2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86" w:type="dxa"/>
            <w:vMerge/>
            <w:vAlign w:val="center"/>
          </w:tcPr>
          <w:p w:rsidR="005F4F2A" w:rsidRDefault="005F4F2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687" w:type="dxa"/>
            <w:vMerge/>
            <w:vAlign w:val="center"/>
          </w:tcPr>
          <w:p w:rsidR="005F4F2A" w:rsidRDefault="005F4F2A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5F4F2A" w:rsidRDefault="005F4F2A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5F4F2A" w:rsidRDefault="005F4F2A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5F4F2A" w:rsidTr="004C06BA">
        <w:trPr>
          <w:trHeight w:val="454"/>
          <w:jc w:val="center"/>
        </w:trPr>
        <w:tc>
          <w:tcPr>
            <w:tcW w:w="1185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蓟马</w:t>
            </w:r>
          </w:p>
        </w:tc>
        <w:tc>
          <w:tcPr>
            <w:tcW w:w="1550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  <w:shd w:val="clear" w:color="auto" w:fill="FFFFFF"/>
              </w:rPr>
              <w:t>若虫发生盛孵期</w:t>
            </w:r>
          </w:p>
        </w:tc>
        <w:tc>
          <w:tcPr>
            <w:tcW w:w="2286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50%</w:t>
            </w:r>
            <w:bookmarkStart w:id="13" w:name="OLE_LINK13"/>
            <w:bookmarkStart w:id="14" w:name="OLE_LINK14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吡蚜酮</w:t>
            </w:r>
            <w:bookmarkEnd w:id="13"/>
            <w:bookmarkEnd w:id="14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可湿性粉剂</w:t>
            </w:r>
          </w:p>
        </w:tc>
        <w:tc>
          <w:tcPr>
            <w:tcW w:w="1687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1000-2000倍液</w:t>
            </w:r>
          </w:p>
        </w:tc>
        <w:tc>
          <w:tcPr>
            <w:tcW w:w="993" w:type="dxa"/>
            <w:vAlign w:val="center"/>
          </w:tcPr>
          <w:p w:rsidR="005F4F2A" w:rsidRDefault="00533984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喷雾</w:t>
            </w:r>
          </w:p>
        </w:tc>
        <w:tc>
          <w:tcPr>
            <w:tcW w:w="1134" w:type="dxa"/>
            <w:vAlign w:val="center"/>
          </w:tcPr>
          <w:p w:rsidR="005F4F2A" w:rsidRDefault="00533984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14</w:t>
            </w:r>
          </w:p>
        </w:tc>
      </w:tr>
      <w:tr w:rsidR="005F4F2A" w:rsidTr="004C06BA">
        <w:trPr>
          <w:trHeight w:val="454"/>
          <w:jc w:val="center"/>
        </w:trPr>
        <w:tc>
          <w:tcPr>
            <w:tcW w:w="8835" w:type="dxa"/>
            <w:gridSpan w:val="6"/>
            <w:vAlign w:val="center"/>
          </w:tcPr>
          <w:p w:rsidR="005F4F2A" w:rsidRDefault="00533984">
            <w:pPr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18"/>
                <w:szCs w:val="18"/>
              </w:rPr>
              <w:t>注：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农药使用以最新版本NY/T393的规定为准。</w:t>
            </w:r>
          </w:p>
        </w:tc>
      </w:tr>
    </w:tbl>
    <w:p w:rsidR="005F4F2A" w:rsidRPr="003E273D" w:rsidRDefault="003E273D" w:rsidP="003E273D">
      <w:pPr>
        <w:spacing w:line="480" w:lineRule="exact"/>
        <w:rPr>
          <w:rFonts w:ascii="宋体" w:hAnsi="Calibri" w:cs="宋体"/>
        </w:rPr>
      </w:pPr>
      <w:r w:rsidRPr="003E273D">
        <w:rPr>
          <w:rFonts w:ascii="宋体" w:hAnsi="宋体" w:cs="宋体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03DFDE" wp14:editId="32B032DF">
                <wp:simplePos x="0" y="0"/>
                <wp:positionH relativeFrom="column">
                  <wp:posOffset>1698846</wp:posOffset>
                </wp:positionH>
                <wp:positionV relativeFrom="paragraph">
                  <wp:posOffset>292100</wp:posOffset>
                </wp:positionV>
                <wp:extent cx="1800000" cy="0"/>
                <wp:effectExtent l="0" t="0" r="292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FBEF07A" id="直接连接符 1" o:spid="_x0000_s1026" style="position:absolute;left:0;text-align:lef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3.75pt,23pt" to="275.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" strokecolor="black [3213]" strokeweight="1pt">
                <v:stroke joinstyle="miter"/>
              </v:line>
            </w:pict>
          </mc:Fallback>
        </mc:AlternateContent>
      </w:r>
    </w:p>
    <w:sectPr w:rsidR="005F4F2A" w:rsidRPr="003E27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EFF" w:rsidRDefault="00926EFF" w:rsidP="00A109C3">
      <w:r>
        <w:separator/>
      </w:r>
    </w:p>
  </w:endnote>
  <w:endnote w:type="continuationSeparator" w:id="0">
    <w:p w:rsidR="00926EFF" w:rsidRDefault="00926EFF" w:rsidP="00A10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1221385"/>
      <w:docPartObj>
        <w:docPartGallery w:val="Page Numbers (Bottom of Page)"/>
        <w:docPartUnique/>
      </w:docPartObj>
    </w:sdtPr>
    <w:sdtEndPr/>
    <w:sdtContent>
      <w:p w:rsidR="00C74785" w:rsidRDefault="00C74785" w:rsidP="003E273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73D" w:rsidRPr="003E273D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1909430"/>
      <w:docPartObj>
        <w:docPartGallery w:val="Page Numbers (Bottom of Page)"/>
        <w:docPartUnique/>
      </w:docPartObj>
    </w:sdtPr>
    <w:sdtEndPr/>
    <w:sdtContent>
      <w:p w:rsidR="003E273D" w:rsidRDefault="003E273D" w:rsidP="003E273D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0AB" w:rsidRPr="007D60AB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5495427"/>
      <w:docPartObj>
        <w:docPartGallery w:val="Page Numbers (Bottom of Page)"/>
        <w:docPartUnique/>
      </w:docPartObj>
    </w:sdtPr>
    <w:sdtEndPr/>
    <w:sdtContent>
      <w:p w:rsidR="00C74785" w:rsidRDefault="00C74785" w:rsidP="003E273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0AB" w:rsidRPr="007D60AB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EFF" w:rsidRDefault="00926EFF" w:rsidP="00A109C3">
      <w:r>
        <w:separator/>
      </w:r>
    </w:p>
  </w:footnote>
  <w:footnote w:type="continuationSeparator" w:id="0">
    <w:p w:rsidR="00926EFF" w:rsidRDefault="00926EFF" w:rsidP="00A10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9C3" w:rsidRDefault="00926EFF" w:rsidP="003E273D">
    <w:pPr>
      <w:pStyle w:val="ac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999991" o:spid="_x0000_s2050" type="#_x0000_t75" style="position:absolute;left:0;text-align:left;margin-left:0;margin-top:0;width:415.25pt;height:387pt;z-index:-251657216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9C3" w:rsidRDefault="00926EFF" w:rsidP="00A109C3">
    <w:pPr>
      <w:pStyle w:val="ac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999992" o:spid="_x0000_s2051" type="#_x0000_t75" style="position:absolute;left:0;text-align:left;margin-left:0;margin-top:0;width:415.25pt;height:387pt;z-index:-251656192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9C3" w:rsidRDefault="00926EFF" w:rsidP="00C74785">
    <w:pPr>
      <w:pStyle w:val="ac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999990" o:spid="_x0000_s2049" type="#_x0000_t75" style="position:absolute;left:0;text-align:left;margin-left:0;margin-top:0;width:415.25pt;height:387pt;z-index:-251658240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sz w:val="21"/>
        <w:szCs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sz w:val="21"/>
        <w:szCs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sz w:val="21"/>
        <w:szCs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sz w:val="21"/>
        <w:szCs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/>
      </w:rPr>
    </w:lvl>
  </w:abstractNum>
  <w:abstractNum w:abstractNumId="1">
    <w:nsid w:val="60B55DC2"/>
    <w:multiLevelType w:val="multilevel"/>
    <w:tmpl w:val="60B55DC2"/>
    <w:lvl w:ilvl="0">
      <w:start w:val="1"/>
      <w:numFmt w:val="upperLetter"/>
      <w:pStyle w:val="a0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2">
    <w:nsid w:val="657D3FBC"/>
    <w:multiLevelType w:val="multilevel"/>
    <w:tmpl w:val="657D3FBC"/>
    <w:lvl w:ilvl="0">
      <w:start w:val="1"/>
      <w:numFmt w:val="upperLetter"/>
      <w:pStyle w:val="a1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4"/>
        <w:szCs w:val="24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8789"/>
        </w:tabs>
        <w:ind w:left="878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9497"/>
        </w:tabs>
        <w:ind w:left="9497" w:hanging="1700"/>
      </w:pPr>
      <w:rPr>
        <w:rFonts w:cs="Times New Roman"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embedSystemFonts/>
  <w:bordersDoNotSurroundHeader/>
  <w:bordersDoNotSurroundFooter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695E3D"/>
    <w:rsid w:val="EFBD5381"/>
    <w:rsid w:val="00061BCD"/>
    <w:rsid w:val="00134A09"/>
    <w:rsid w:val="001F21D5"/>
    <w:rsid w:val="00241D75"/>
    <w:rsid w:val="00272EE5"/>
    <w:rsid w:val="003C06FF"/>
    <w:rsid w:val="003E273D"/>
    <w:rsid w:val="003E3F23"/>
    <w:rsid w:val="00450027"/>
    <w:rsid w:val="004C06BA"/>
    <w:rsid w:val="004E2F5B"/>
    <w:rsid w:val="00533984"/>
    <w:rsid w:val="005D4FAA"/>
    <w:rsid w:val="005F4F2A"/>
    <w:rsid w:val="00617683"/>
    <w:rsid w:val="007D60AB"/>
    <w:rsid w:val="008F03DF"/>
    <w:rsid w:val="00926EFF"/>
    <w:rsid w:val="00932AAA"/>
    <w:rsid w:val="00A033CF"/>
    <w:rsid w:val="00A109C3"/>
    <w:rsid w:val="00A23675"/>
    <w:rsid w:val="00A53FA8"/>
    <w:rsid w:val="00AD77E7"/>
    <w:rsid w:val="00BC0680"/>
    <w:rsid w:val="00C74785"/>
    <w:rsid w:val="00CF1E79"/>
    <w:rsid w:val="00D87964"/>
    <w:rsid w:val="00E95382"/>
    <w:rsid w:val="00EF3C23"/>
    <w:rsid w:val="00F135F0"/>
    <w:rsid w:val="00FF4C84"/>
    <w:rsid w:val="02CF7A3A"/>
    <w:rsid w:val="0461789C"/>
    <w:rsid w:val="068D509B"/>
    <w:rsid w:val="08A21CA1"/>
    <w:rsid w:val="0A4441B6"/>
    <w:rsid w:val="0EAA3008"/>
    <w:rsid w:val="0EBE4E06"/>
    <w:rsid w:val="102D0AF3"/>
    <w:rsid w:val="114E55A6"/>
    <w:rsid w:val="14F805E5"/>
    <w:rsid w:val="16D72F09"/>
    <w:rsid w:val="16FD4C60"/>
    <w:rsid w:val="1F695E3D"/>
    <w:rsid w:val="20784764"/>
    <w:rsid w:val="21316F72"/>
    <w:rsid w:val="21736026"/>
    <w:rsid w:val="24107A5A"/>
    <w:rsid w:val="263776DD"/>
    <w:rsid w:val="26415CA9"/>
    <w:rsid w:val="2B637749"/>
    <w:rsid w:val="311233AC"/>
    <w:rsid w:val="315471D8"/>
    <w:rsid w:val="3442471B"/>
    <w:rsid w:val="37375F2A"/>
    <w:rsid w:val="379F6FAE"/>
    <w:rsid w:val="39C3378B"/>
    <w:rsid w:val="3AC2225A"/>
    <w:rsid w:val="3BF949D8"/>
    <w:rsid w:val="3E4647F4"/>
    <w:rsid w:val="3E9F1EEC"/>
    <w:rsid w:val="3F3256FF"/>
    <w:rsid w:val="3FC72668"/>
    <w:rsid w:val="4133382B"/>
    <w:rsid w:val="42DD2BCF"/>
    <w:rsid w:val="446F3463"/>
    <w:rsid w:val="456B7AEF"/>
    <w:rsid w:val="45C61C6B"/>
    <w:rsid w:val="45DE6446"/>
    <w:rsid w:val="46465647"/>
    <w:rsid w:val="4FA26F09"/>
    <w:rsid w:val="5024178C"/>
    <w:rsid w:val="50D111F1"/>
    <w:rsid w:val="50DD28EE"/>
    <w:rsid w:val="528A2A71"/>
    <w:rsid w:val="53627D81"/>
    <w:rsid w:val="5407656D"/>
    <w:rsid w:val="552D196B"/>
    <w:rsid w:val="556800B5"/>
    <w:rsid w:val="559F2F30"/>
    <w:rsid w:val="56BC7A3A"/>
    <w:rsid w:val="571F7091"/>
    <w:rsid w:val="586C30DE"/>
    <w:rsid w:val="5CEC6C58"/>
    <w:rsid w:val="6411790A"/>
    <w:rsid w:val="64D21BE7"/>
    <w:rsid w:val="64D713A4"/>
    <w:rsid w:val="671D498D"/>
    <w:rsid w:val="679C0D76"/>
    <w:rsid w:val="69145459"/>
    <w:rsid w:val="6A4B0F3C"/>
    <w:rsid w:val="6AF70831"/>
    <w:rsid w:val="6C3C3608"/>
    <w:rsid w:val="6C68355C"/>
    <w:rsid w:val="6F1B307C"/>
    <w:rsid w:val="6F3924CB"/>
    <w:rsid w:val="70FFFC64"/>
    <w:rsid w:val="71447F79"/>
    <w:rsid w:val="768A7BE9"/>
    <w:rsid w:val="76CD7FC5"/>
    <w:rsid w:val="775549AA"/>
    <w:rsid w:val="7C91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color="white">
      <v:fill color="white"/>
    </o:shapedefaults>
    <o:shapelayout v:ext="edit">
      <o:idmap v:ext="edit" data="1"/>
    </o:shapelayout>
  </w:shapeDefaults>
  <w:decimalSymbol w:val="."/>
  <w:listSeparator w:val=","/>
  <w15:docId w15:val="{C0D89FFA-BE91-4BF3-9654-94D5D3E5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 w:uiPriority="1" w:unhideWhenUsed="1" w:qFormat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uiPriority="22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next w:val="2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2"/>
    <w:next w:val="a2"/>
    <w:link w:val="1Char"/>
    <w:qFormat/>
    <w:rsid w:val="004C06BA"/>
    <w:pPr>
      <w:keepNext/>
      <w:keepLines/>
      <w:adjustRightInd w:val="0"/>
      <w:snapToGrid w:val="0"/>
      <w:spacing w:line="360" w:lineRule="auto"/>
      <w:outlineLvl w:val="0"/>
    </w:pPr>
    <w:rPr>
      <w:rFonts w:ascii="黑体" w:eastAsia="黑体" w:hAnsi="黑体"/>
      <w:bCs/>
      <w:kern w:val="44"/>
      <w:szCs w:val="44"/>
    </w:rPr>
  </w:style>
  <w:style w:type="paragraph" w:styleId="20">
    <w:name w:val="heading 2"/>
    <w:basedOn w:val="a2"/>
    <w:next w:val="a2"/>
    <w:link w:val="2Char"/>
    <w:unhideWhenUsed/>
    <w:qFormat/>
    <w:rsid w:val="004C06BA"/>
    <w:pPr>
      <w:keepNext/>
      <w:keepLines/>
      <w:adjustRightInd w:val="0"/>
      <w:snapToGrid w:val="0"/>
      <w:spacing w:line="360" w:lineRule="auto"/>
      <w:outlineLvl w:val="1"/>
    </w:pPr>
    <w:rPr>
      <w:rFonts w:ascii="黑体" w:eastAsia="黑体" w:hAnsi="黑体" w:cstheme="majorBidi"/>
      <w:bCs/>
      <w:szCs w:val="32"/>
    </w:rPr>
  </w:style>
  <w:style w:type="paragraph" w:styleId="3">
    <w:name w:val="heading 3"/>
    <w:basedOn w:val="a2"/>
    <w:next w:val="a2"/>
    <w:link w:val="3Char"/>
    <w:unhideWhenUsed/>
    <w:qFormat/>
    <w:rsid w:val="004C06BA"/>
    <w:pPr>
      <w:keepNext/>
      <w:keepLines/>
      <w:adjustRightInd w:val="0"/>
      <w:snapToGrid w:val="0"/>
      <w:spacing w:line="360" w:lineRule="auto"/>
      <w:outlineLvl w:val="2"/>
    </w:pPr>
    <w:rPr>
      <w:rFonts w:ascii="黑体" w:eastAsia="黑体" w:hAnsi="黑体"/>
      <w:bCs/>
      <w:szCs w:val="32"/>
    </w:rPr>
  </w:style>
  <w:style w:type="paragraph" w:styleId="4">
    <w:name w:val="heading 4"/>
    <w:basedOn w:val="a2"/>
    <w:next w:val="a2"/>
    <w:link w:val="4Char"/>
    <w:unhideWhenUsed/>
    <w:qFormat/>
    <w:rsid w:val="004C06BA"/>
    <w:pPr>
      <w:keepNext/>
      <w:keepLines/>
      <w:adjustRightInd w:val="0"/>
      <w:snapToGrid w:val="0"/>
      <w:spacing w:line="360" w:lineRule="auto"/>
      <w:outlineLvl w:val="3"/>
    </w:pPr>
    <w:rPr>
      <w:rFonts w:ascii="黑体" w:eastAsia="黑体" w:hAnsi="黑体" w:cstheme="majorBidi"/>
      <w:bCs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">
    <w:name w:val="Body Text First Indent 2"/>
    <w:basedOn w:val="a6"/>
    <w:next w:val="a2"/>
    <w:uiPriority w:val="99"/>
    <w:unhideWhenUsed/>
    <w:qFormat/>
    <w:pPr>
      <w:ind w:firstLineChars="200" w:firstLine="420"/>
    </w:pPr>
  </w:style>
  <w:style w:type="paragraph" w:styleId="a6">
    <w:name w:val="Body Text Indent"/>
    <w:basedOn w:val="a2"/>
    <w:uiPriority w:val="99"/>
    <w:unhideWhenUsed/>
    <w:qFormat/>
    <w:pPr>
      <w:spacing w:after="120"/>
      <w:ind w:leftChars="200" w:left="420"/>
    </w:pPr>
    <w:rPr>
      <w:kern w:val="0"/>
      <w:sz w:val="20"/>
    </w:rPr>
  </w:style>
  <w:style w:type="paragraph" w:styleId="a7">
    <w:name w:val="Plain Text"/>
    <w:basedOn w:val="a2"/>
    <w:uiPriority w:val="99"/>
    <w:qFormat/>
    <w:pPr>
      <w:ind w:firstLine="420"/>
    </w:pPr>
    <w:rPr>
      <w:rFonts w:ascii="宋体" w:hAnsi="Courier New" w:cs="宋体"/>
    </w:rPr>
  </w:style>
  <w:style w:type="paragraph" w:styleId="a8">
    <w:name w:val="footer"/>
    <w:basedOn w:val="a2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9">
    <w:name w:val="Strong"/>
    <w:basedOn w:val="a3"/>
    <w:uiPriority w:val="22"/>
    <w:qFormat/>
    <w:rPr>
      <w:b/>
      <w:bCs/>
    </w:rPr>
  </w:style>
  <w:style w:type="character" w:styleId="aa">
    <w:name w:val="page number"/>
    <w:basedOn w:val="a3"/>
    <w:uiPriority w:val="99"/>
    <w:qFormat/>
    <w:rPr>
      <w:rFonts w:cs="Times New Roman"/>
    </w:rPr>
  </w:style>
  <w:style w:type="paragraph" w:customStyle="1" w:styleId="10">
    <w:name w:val="列出段落1"/>
    <w:basedOn w:val="a2"/>
    <w:qFormat/>
    <w:pPr>
      <w:ind w:firstLineChars="200" w:firstLine="420"/>
    </w:pPr>
  </w:style>
  <w:style w:type="paragraph" w:customStyle="1" w:styleId="ab">
    <w:name w:val="段"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Calibri" w:cs="宋体"/>
      <w:kern w:val="2"/>
      <w:sz w:val="21"/>
      <w:szCs w:val="21"/>
    </w:rPr>
  </w:style>
  <w:style w:type="paragraph" w:customStyle="1" w:styleId="a0">
    <w:name w:val="附录图标号"/>
    <w:basedOn w:val="a2"/>
    <w:uiPriority w:val="99"/>
    <w:qFormat/>
    <w:pPr>
      <w:keepNext/>
      <w:pageBreakBefore/>
      <w:widowControl/>
      <w:numPr>
        <w:numId w:val="1"/>
      </w:numPr>
      <w:spacing w:line="14" w:lineRule="exact"/>
      <w:ind w:firstLine="363"/>
      <w:jc w:val="center"/>
      <w:outlineLvl w:val="0"/>
    </w:pPr>
    <w:rPr>
      <w:rFonts w:ascii="Calibri" w:hAnsi="Calibri"/>
      <w:color w:val="FFFFFF"/>
      <w:szCs w:val="22"/>
    </w:rPr>
  </w:style>
  <w:style w:type="paragraph" w:customStyle="1" w:styleId="a">
    <w:name w:val="附录表标号"/>
    <w:basedOn w:val="a2"/>
    <w:next w:val="ab"/>
    <w:uiPriority w:val="99"/>
    <w:qFormat/>
    <w:pPr>
      <w:numPr>
        <w:numId w:val="2"/>
      </w:numPr>
      <w:spacing w:line="14" w:lineRule="exact"/>
      <w:ind w:left="811" w:hanging="448"/>
      <w:jc w:val="center"/>
      <w:outlineLvl w:val="0"/>
    </w:pPr>
    <w:rPr>
      <w:rFonts w:ascii="Calibri" w:hAnsi="Calibri"/>
      <w:color w:val="FFFFFF"/>
      <w:szCs w:val="22"/>
    </w:rPr>
  </w:style>
  <w:style w:type="paragraph" w:customStyle="1" w:styleId="a1">
    <w:name w:val="附录标识"/>
    <w:basedOn w:val="a2"/>
    <w:next w:val="ab"/>
    <w:uiPriority w:val="99"/>
    <w:qFormat/>
    <w:pPr>
      <w:keepNext/>
      <w:widowControl/>
      <w:numPr>
        <w:numId w:val="3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styleId="ac">
    <w:name w:val="header"/>
    <w:basedOn w:val="a2"/>
    <w:link w:val="Char0"/>
    <w:rsid w:val="00A109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3"/>
    <w:link w:val="ac"/>
    <w:rsid w:val="00A109C3"/>
    <w:rPr>
      <w:kern w:val="2"/>
      <w:sz w:val="18"/>
      <w:szCs w:val="18"/>
    </w:rPr>
  </w:style>
  <w:style w:type="character" w:customStyle="1" w:styleId="1Char">
    <w:name w:val="标题 1 Char"/>
    <w:basedOn w:val="a3"/>
    <w:link w:val="1"/>
    <w:rsid w:val="004C06BA"/>
    <w:rPr>
      <w:rFonts w:ascii="黑体" w:eastAsia="黑体" w:hAnsi="黑体"/>
      <w:bCs/>
      <w:kern w:val="44"/>
      <w:sz w:val="21"/>
      <w:szCs w:val="44"/>
    </w:rPr>
  </w:style>
  <w:style w:type="character" w:customStyle="1" w:styleId="2Char">
    <w:name w:val="标题 2 Char"/>
    <w:basedOn w:val="a3"/>
    <w:link w:val="20"/>
    <w:rsid w:val="004C06BA"/>
    <w:rPr>
      <w:rFonts w:ascii="黑体" w:eastAsia="黑体" w:hAnsi="黑体" w:cstheme="majorBidi"/>
      <w:bCs/>
      <w:kern w:val="2"/>
      <w:sz w:val="21"/>
      <w:szCs w:val="32"/>
    </w:rPr>
  </w:style>
  <w:style w:type="character" w:customStyle="1" w:styleId="3Char">
    <w:name w:val="标题 3 Char"/>
    <w:basedOn w:val="a3"/>
    <w:link w:val="3"/>
    <w:rsid w:val="004C06BA"/>
    <w:rPr>
      <w:rFonts w:ascii="黑体" w:eastAsia="黑体" w:hAnsi="黑体"/>
      <w:bCs/>
      <w:kern w:val="2"/>
      <w:sz w:val="21"/>
      <w:szCs w:val="32"/>
    </w:rPr>
  </w:style>
  <w:style w:type="character" w:customStyle="1" w:styleId="4Char">
    <w:name w:val="标题 4 Char"/>
    <w:basedOn w:val="a3"/>
    <w:link w:val="4"/>
    <w:rsid w:val="004C06BA"/>
    <w:rPr>
      <w:rFonts w:ascii="黑体" w:eastAsia="黑体" w:hAnsi="黑体" w:cstheme="majorBidi"/>
      <w:bCs/>
      <w:kern w:val="2"/>
      <w:sz w:val="21"/>
      <w:szCs w:val="28"/>
    </w:rPr>
  </w:style>
  <w:style w:type="paragraph" w:styleId="ad">
    <w:name w:val="Balloon Text"/>
    <w:basedOn w:val="a2"/>
    <w:link w:val="Char1"/>
    <w:rsid w:val="00C74785"/>
    <w:rPr>
      <w:sz w:val="18"/>
      <w:szCs w:val="18"/>
    </w:rPr>
  </w:style>
  <w:style w:type="character" w:customStyle="1" w:styleId="Char1">
    <w:name w:val="批注框文本 Char"/>
    <w:basedOn w:val="a3"/>
    <w:link w:val="ad"/>
    <w:rsid w:val="00C74785"/>
    <w:rPr>
      <w:kern w:val="2"/>
      <w:sz w:val="18"/>
      <w:szCs w:val="18"/>
    </w:rPr>
  </w:style>
  <w:style w:type="character" w:customStyle="1" w:styleId="Char">
    <w:name w:val="页脚 Char"/>
    <w:basedOn w:val="a3"/>
    <w:link w:val="a8"/>
    <w:uiPriority w:val="99"/>
    <w:rsid w:val="00C7478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8</Pages>
  <Words>661</Words>
  <Characters>3774</Characters>
  <Application>Microsoft Office Word</Application>
  <DocSecurity>0</DocSecurity>
  <Lines>31</Lines>
  <Paragraphs>8</Paragraphs>
  <ScaleCrop>false</ScaleCrop>
  <Company>Microsoft</Company>
  <LinksUpToDate>false</LinksUpToDate>
  <CharactersWithSpaces>4427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毛雯</dc:creator>
  <cp:lastModifiedBy>马雪</cp:lastModifiedBy>
  <cp:revision>14</cp:revision>
  <dcterms:created xsi:type="dcterms:W3CDTF">2025-06-18T19:00:00Z</dcterms:created>
  <dcterms:modified xsi:type="dcterms:W3CDTF">2026-04-14T06:02:00Z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1A285042B025EAE59B31DA68402D81C5</vt:lpwstr>
  </property>
  <property fmtid="{D5CDD505-2E9C-101B-9397-08002B2CF9AE}" pid="4" name="KSOTemplateDocerSaveRecord">
    <vt:lpwstr>eyJoZGlkIjoiZTNlODFkZjc3MmUyNTQyNzliMTZmNThmNmY1NWM2NGYiLCJ1c2VySWQiOiI0NTYzMjM4OTcifQ==</vt:lpwstr>
  </property>
</Properties>
</file>